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center"/>
        <w:rPr>
          <w:rFonts w:ascii="Times New Roman;serif" w:hAnsi="Times New Roman;serif"/>
          <w:b/>
          <w:color w:val="000000"/>
          <w:sz w:val="15"/>
        </w:rPr>
      </w:pPr>
      <w:r>
        <w:rPr>
          <w:rFonts w:ascii="Times New Roman;serif" w:hAnsi="Times New Roman;serif"/>
          <w:b/>
          <w:color w:val="000000"/>
          <w:sz w:val="15"/>
        </w:rPr>
        <w:t>As filed with the U.S. Securities and Exchange Commission on September 14, 2026</w:t>
      </w:r>
    </w:p>
    <w:p>
      <w:pPr>
        <w:pStyle w:val="TextBody"/>
        <w:bidi w:val="0"/>
        <w:spacing w:lineRule="auto" w:line="276" w:before="0" w:after="0"/>
        <w:ind w:left="0" w:right="0" w:firstLine="720"/>
        <w:jc w:val="right"/>
        <w:rPr>
          <w:rFonts w:ascii="Times New Roman;serif" w:hAnsi="Times New Roman;serif"/>
          <w:b/>
          <w:color w:val="000000"/>
          <w:sz w:val="15"/>
        </w:rPr>
      </w:pPr>
      <w:r>
        <w:rPr>
          <w:rFonts w:ascii="Times New Roman;serif" w:hAnsi="Times New Roman;serif"/>
          <w:b/>
          <w:color w:val="000000"/>
          <w:sz w:val="15"/>
        </w:rPr>
        <w:t>Registration No. 333-</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S-8</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REGISTRATION STATEMENT</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UNDER</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THE SECURITIES ACT OF 1933</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HEALTH CATALYST, INC.</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 xml:space="preserve">(Exact name of registrant as specified in its charter)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________________________________________________________________</w:t>
      </w:r>
    </w:p>
    <w:tbl>
      <w:tblPr>
        <w:tblW w:w="3655" w:type="dxa"/>
        <w:jc w:val="center"/>
        <w:tblInd w:w="0" w:type="dxa"/>
        <w:tblLayout w:type="fixed"/>
        <w:tblCellMar>
          <w:top w:w="28" w:type="dxa"/>
          <w:left w:w="28" w:type="dxa"/>
          <w:bottom w:w="28" w:type="dxa"/>
          <w:right w:w="28" w:type="dxa"/>
        </w:tblCellMar>
      </w:tblPr>
      <w:tblGrid>
        <w:gridCol w:w="720"/>
        <w:gridCol w:w="634"/>
        <w:gridCol w:w="640"/>
        <w:gridCol w:w="109"/>
        <w:gridCol w:w="109"/>
        <w:gridCol w:w="109"/>
        <w:gridCol w:w="389"/>
        <w:gridCol w:w="389"/>
        <w:gridCol w:w="556"/>
      </w:tblGrid>
      <w:tr>
        <w:trPr/>
        <w:tc>
          <w:tcPr>
            <w:tcW w:w="72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45-3337483</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(State or other jurisdiction of</w:t>
            </w:r>
          </w:p>
          <w:p>
            <w:pPr>
              <w:pStyle w:val="TableContents"/>
              <w:bidi w:val="0"/>
              <w:spacing w:lineRule="auto" w:line="240" w:before="0" w:after="15"/>
              <w:jc w:val="center"/>
              <w:rPr>
                <w:rFonts w:ascii="Times New Roman;serif" w:hAnsi="Times New Roman;serif"/>
                <w:b/>
                <w:color w:val="000000"/>
                <w:sz w:val="15"/>
              </w:rPr>
            </w:pPr>
            <w:r>
              <w:rPr>
                <w:rFonts w:ascii="Times New Roman;serif" w:hAnsi="Times New Roman;serif"/>
                <w:b/>
                <w:color w:val="000000"/>
                <w:sz w:val="15"/>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10897 South River Front Parkway #300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South Jordan, UT 84095</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 xml:space="preserve">(Address of Principal Executive Offices) </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______________________________________________________________</w:t>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Health Catalyst, Inc. 2026 Employment Inducement Incentive Plan</w:t>
      </w:r>
    </w:p>
    <w:p>
      <w:pPr>
        <w:pStyle w:val="TextBody"/>
        <w:bidi w:val="0"/>
        <w:spacing w:lineRule="auto" w:line="276" w:before="0" w:after="0"/>
        <w:jc w:val="center"/>
        <w:rPr>
          <w:rFonts w:ascii="Times New Roman;serif" w:hAnsi="Times New Roman;serif"/>
          <w:b/>
          <w:color w:val="000000"/>
          <w:sz w:val="15"/>
        </w:rPr>
      </w:pPr>
      <w:r>
        <w:rPr>
          <w:rFonts w:ascii="Times New Roman;serif" w:hAnsi="Times New Roman;serif"/>
          <w:b/>
          <w:color w:val="000000"/>
          <w:sz w:val="15"/>
        </w:rPr>
        <w:t>(Full title of the plan)</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______________________________________________________________</w:t>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Simeon Michael Kohl</w:t>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Chief Executive Officer</w:t>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Health Catalyst, Inc.</w:t>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10897 South River Front Parkway #300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South Jordan, UT 84095</w:t>
      </w:r>
    </w:p>
    <w:p>
      <w:pPr>
        <w:pStyle w:val="TextBody"/>
        <w:bidi w:val="0"/>
        <w:spacing w:lineRule="auto" w:line="276" w:before="0" w:after="0"/>
        <w:jc w:val="center"/>
        <w:rPr>
          <w:rFonts w:ascii="Times New Roman;serif" w:hAnsi="Times New Roman;serif"/>
          <w:b/>
          <w:color w:val="000000"/>
          <w:sz w:val="15"/>
        </w:rPr>
      </w:pPr>
      <w:r>
        <w:rPr>
          <w:rFonts w:ascii="Times New Roman;serif" w:hAnsi="Times New Roman;serif"/>
          <w:b/>
          <w:color w:val="000000"/>
          <w:sz w:val="15"/>
        </w:rPr>
        <w:t>(Name and address of agent for service)</w:t>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(801) 708-6800</w:t>
      </w:r>
    </w:p>
    <w:p>
      <w:pPr>
        <w:pStyle w:val="TextBody"/>
        <w:bidi w:val="0"/>
        <w:spacing w:lineRule="auto" w:line="276" w:before="0" w:after="0"/>
        <w:jc w:val="center"/>
        <w:rPr>
          <w:rFonts w:ascii="Times New Roman;serif" w:hAnsi="Times New Roman;serif"/>
          <w:b/>
          <w:color w:val="000000"/>
          <w:sz w:val="15"/>
        </w:rPr>
      </w:pPr>
      <w:r>
        <w:rPr>
          <w:rFonts w:ascii="Times New Roman;serif" w:hAnsi="Times New Roman;serif"/>
          <w:b/>
          <w:color w:val="000000"/>
          <w:sz w:val="15"/>
        </w:rPr>
        <w:t>(Telephone number, including area code, of agent for service)</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______________________________________________________________</w:t>
      </w:r>
    </w:p>
    <w:tbl>
      <w:tblPr>
        <w:tblW w:w="5622" w:type="dxa"/>
        <w:jc w:val="center"/>
        <w:tblInd w:w="0" w:type="dxa"/>
        <w:tblLayout w:type="fixed"/>
        <w:tblCellMar>
          <w:top w:w="28" w:type="dxa"/>
          <w:left w:w="28" w:type="dxa"/>
          <w:bottom w:w="28" w:type="dxa"/>
          <w:right w:w="28" w:type="dxa"/>
        </w:tblCellMar>
      </w:tblPr>
      <w:tblGrid>
        <w:gridCol w:w="798"/>
        <w:gridCol w:w="702"/>
        <w:gridCol w:w="705"/>
        <w:gridCol w:w="109"/>
        <w:gridCol w:w="109"/>
        <w:gridCol w:w="109"/>
        <w:gridCol w:w="904"/>
        <w:gridCol w:w="904"/>
        <w:gridCol w:w="1282"/>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r>
      <w:tr>
        <w:trPr/>
        <w:tc>
          <w:tcPr>
            <w:tcW w:w="5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Copies to:</w:t>
            </w:r>
          </w:p>
        </w:tc>
      </w:tr>
      <w:tr>
        <w:trPr/>
        <w:tc>
          <w:tcPr>
            <w:tcW w:w="22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Richard A. Kline</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Erica D. Kassman</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Latham &amp; Watkins LLP</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801 Jefferson Ave, Suite 300</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Redwood City, CA 94063</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(650) 328-4600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Benjamin Landry</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Health Catalyst, Inc.</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10897 South River Front Parkway #300</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South Jordan, UT 84095</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(801) 708-6800</w:t>
            </w:r>
          </w:p>
        </w:tc>
      </w:tr>
    </w:tbl>
    <w:p>
      <w:pPr>
        <w:pStyle w:val="TextBody"/>
        <w:bidi w:val="0"/>
        <w:spacing w:before="0" w:after="0"/>
        <w:jc w:val="center"/>
        <w:rPr/>
      </w:pPr>
      <w:r>
        <w:rPr/>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5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76" w:before="0" w:after="0"/>
        <w:ind w:left="0" w:right="0" w:hanging="27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ind w:left="0" w:right="0" w:hanging="270"/>
        <w:jc w:val="center"/>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Health Catalyst, Inc. (the “Registrant”) is filing this Registration Statement on Form S-8 with the Securities and Exchange Commission (the “Commission”) for the purpose of registering 2,747,385 shares of its common stock, par value $0.001 per share (the “Common Stock”), for issuance under the Health Catalyst, Inc. 2026 Employment Inducement Incentive Plan (the “2026 Inducement Plan”) adopted by the Registrant’s board of directors on September 4, 2026. The 2026 Inducement Plan provides for the grant of equity-based awards, including stock options, stock appreciation rights, restricted stock units, restricted stock awards, unrestricted stock awards, cash based awards, and dividend equivalent rights to eligible employees of the Registrant.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pPr>
      <w:r>
        <w:rPr>
          <w:rFonts w:ascii="Times New Roman;serif" w:hAnsi="Times New Roman;serif"/>
          <w:b/>
          <w:color w:val="000000"/>
          <w:sz w:val="20"/>
        </w:rPr>
        <w:t>PART I</w:t>
      </w:r>
      <w:r>
        <w:rPr>
          <w:color w:val="000000"/>
        </w:rPr>
        <w:t xml:space="preserve"> </w:t>
      </w:r>
    </w:p>
    <w:p>
      <w:pPr>
        <w:pStyle w:val="TextBody"/>
        <w:bidi w:val="0"/>
        <w:spacing w:before="0" w:after="0"/>
        <w:jc w:val="left"/>
        <w:rPr/>
      </w:pPr>
      <w:r>
        <w:rPr/>
      </w:r>
    </w:p>
    <w:p>
      <w:pPr>
        <w:pStyle w:val="TextBody"/>
        <w:bidi w:val="0"/>
        <w:spacing w:lineRule="auto" w:line="276" w:before="0" w:after="0"/>
        <w:jc w:val="center"/>
        <w:rPr/>
      </w:pPr>
      <w:r>
        <w:rPr>
          <w:rFonts w:ascii="Times New Roman;serif" w:hAnsi="Times New Roman;serif"/>
          <w:b/>
          <w:color w:val="000000"/>
          <w:sz w:val="20"/>
        </w:rPr>
        <w:t>INFORMATION REQUIRED IN THE SECTION 10(a) PROSPECTUS</w:t>
      </w:r>
      <w:r>
        <w:rPr>
          <w:color w:val="000000"/>
        </w:rPr>
        <w:t xml:space="preserve">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called for in Part I of Form S-8 to be contained in the Section 10(a) prospectus is not being filed with or included in this Registration Statement (by incorporation by reference or otherwise) in accordance with the rules and regulations of the Commission. The documents containing the information specified in Part I of Form S-8 will be delivered to the participants in the 2026 Inducement Plan as specified by Rule 428(b)(1) under the Securities Act of 1933, as amended (the “Securities Act”).</w:t>
      </w:r>
    </w:p>
    <w:p>
      <w:pPr>
        <w:pStyle w:val="TextBody"/>
        <w:bidi w:val="0"/>
        <w:spacing w:before="0" w:after="0"/>
        <w:ind w:left="0" w:right="0" w:firstLine="720"/>
        <w:jc w:val="both"/>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documents filed with the Commission by the Registrant are incorporated by reference into this Registration Statement:</w:t>
      </w:r>
    </w:p>
    <w:p>
      <w:pPr>
        <w:pStyle w:val="TextBody"/>
        <w:bidi w:val="0"/>
        <w:spacing w:before="0" w:after="0"/>
        <w:ind w:left="0" w:right="0" w:firstLine="720"/>
        <w:jc w:val="both"/>
        <w:rPr/>
      </w:pPr>
      <w:r>
        <w:rPr/>
      </w:r>
    </w:p>
    <w:p>
      <w:pPr>
        <w:pStyle w:val="TextBody"/>
        <w:bidi w:val="0"/>
        <w:spacing w:lineRule="auto" w:line="276" w:before="0" w:after="0"/>
        <w:ind w:left="0" w:right="0" w:hanging="270"/>
        <w:jc w:val="both"/>
        <w:rPr/>
      </w:pPr>
      <w:r>
        <w:rPr>
          <w:rFonts w:ascii="Times New Roman;serif" w:hAnsi="Times New Roman;serif"/>
          <w:b w:val="false"/>
          <w:color w:val="000000"/>
          <w:sz w:val="20"/>
        </w:rPr>
        <w:t xml:space="preserve">(a) The Registrant’s Annual Report on </w:t>
      </w:r>
      <w:hyperlink r:id="rId2">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 xml:space="preserve">for the fiscal year ended December 31, 2025, filed with the Commission on March 12, 2026, as amended by the </w:t>
      </w:r>
      <w:hyperlink r:id="rId3">
        <w:r>
          <w:rPr>
            <w:rStyle w:val="InternetLink"/>
          </w:rPr>
          <w:t>Form 10-K</w:t>
        </w:r>
      </w:hyperlink>
      <w:hyperlink r:id="rId4">
        <w:r>
          <w:rPr>
            <w:rStyle w:val="InternetLink"/>
          </w:rPr>
          <w:t>/A</w:t>
        </w:r>
      </w:hyperlink>
      <w:r>
        <w:rPr>
          <w:color w:val="000000"/>
        </w:rPr>
        <w:t xml:space="preserve"> </w:t>
      </w:r>
      <w:r>
        <w:rPr>
          <w:rFonts w:ascii="Times New Roman;serif" w:hAnsi="Times New Roman;serif"/>
          <w:b w:val="false"/>
          <w:color w:val="000000"/>
          <w:sz w:val="20"/>
        </w:rPr>
        <w:t>filed with the Commission on April 30, 2026 (together, the “Annual Report”);</w:t>
      </w:r>
    </w:p>
    <w:p>
      <w:pPr>
        <w:pStyle w:val="TextBody"/>
        <w:bidi w:val="0"/>
        <w:spacing w:before="0" w:after="0"/>
        <w:ind w:left="0" w:right="0" w:hanging="270"/>
        <w:jc w:val="both"/>
        <w:rPr/>
      </w:pPr>
      <w:r>
        <w:rPr/>
      </w:r>
    </w:p>
    <w:p>
      <w:pPr>
        <w:pStyle w:val="TextBody"/>
        <w:bidi w:val="0"/>
        <w:spacing w:lineRule="auto" w:line="276" w:before="0" w:after="0"/>
        <w:ind w:left="0" w:right="0" w:hanging="270"/>
        <w:jc w:val="both"/>
        <w:rPr/>
      </w:pPr>
      <w:r>
        <w:rPr>
          <w:rFonts w:ascii="Times New Roman;serif" w:hAnsi="Times New Roman;serif"/>
          <w:b w:val="false"/>
          <w:color w:val="000000"/>
          <w:sz w:val="20"/>
        </w:rPr>
        <w:t xml:space="preserve">(b) The Registrant’s Quarterly Reports on Form 10-Q filed with the Commission on </w:t>
      </w:r>
      <w:hyperlink r:id="rId5">
        <w:r>
          <w:rPr>
            <w:rStyle w:val="InternetLink"/>
            <w:rFonts w:ascii="Times New Roman;serif" w:hAnsi="Times New Roman;serif"/>
            <w:b w:val="false"/>
            <w:color w:val="0000FF"/>
            <w:sz w:val="20"/>
            <w:u w:val="single"/>
          </w:rPr>
          <w:t>May 11, 2026</w:t>
        </w:r>
      </w:hyperlink>
      <w:r>
        <w:rPr>
          <w:color w:val="000000"/>
        </w:rPr>
        <w:t xml:space="preserve"> </w:t>
      </w:r>
      <w:r>
        <w:rPr>
          <w:rFonts w:ascii="Times New Roman;serif" w:hAnsi="Times New Roman;serif"/>
          <w:b w:val="false"/>
          <w:color w:val="000000"/>
          <w:sz w:val="20"/>
        </w:rPr>
        <w:t xml:space="preserve">and </w:t>
      </w:r>
      <w:hyperlink r:id="rId6">
        <w:r>
          <w:rPr>
            <w:rStyle w:val="InternetLink"/>
            <w:rFonts w:ascii="Times New Roman;serif" w:hAnsi="Times New Roman;serif"/>
            <w:b w:val="false"/>
            <w:color w:val="0000FF"/>
            <w:sz w:val="20"/>
            <w:u w:val="single"/>
          </w:rPr>
          <w:t>August 6, 2026</w:t>
        </w:r>
      </w:hyperlink>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76" w:before="0" w:after="0"/>
        <w:ind w:left="0" w:right="0" w:hanging="270"/>
        <w:jc w:val="both"/>
        <w:rPr/>
      </w:pPr>
      <w:r>
        <w:rPr>
          <w:rFonts w:ascii="Times New Roman;serif" w:hAnsi="Times New Roman;serif"/>
          <w:b w:val="false"/>
          <w:color w:val="000000"/>
          <w:sz w:val="20"/>
        </w:rPr>
        <w:t xml:space="preserve">(c) The Registrant’s Current Reports on Form 8-K filed with the Commission on </w:t>
      </w:r>
      <w:hyperlink r:id="rId7">
        <w:r>
          <w:rPr>
            <w:rStyle w:val="InternetLink"/>
            <w:rFonts w:ascii="Times New Roman;serif" w:hAnsi="Times New Roman;serif"/>
            <w:b w:val="false"/>
            <w:color w:val="0000FF"/>
            <w:sz w:val="20"/>
            <w:u w:val="single"/>
          </w:rPr>
          <w:t>January 23, 2026</w:t>
        </w:r>
      </w:hyperlink>
      <w:r>
        <w:rPr>
          <w:rFonts w:ascii="Times New Roman;serif" w:hAnsi="Times New Roman;serif"/>
          <w:b w:val="false"/>
          <w:color w:val="000000"/>
          <w:sz w:val="20"/>
        </w:rPr>
        <w:t xml:space="preserve">, </w:t>
      </w:r>
      <w:hyperlink r:id="rId8">
        <w:r>
          <w:rPr>
            <w:rStyle w:val="InternetLink"/>
            <w:rFonts w:ascii="Times New Roman;serif" w:hAnsi="Times New Roman;serif"/>
            <w:b w:val="false"/>
            <w:color w:val="0000FF"/>
            <w:sz w:val="20"/>
            <w:u w:val="single"/>
          </w:rPr>
          <w:t>February 18, 2026</w:t>
        </w:r>
      </w:hyperlink>
      <w:r>
        <w:rPr>
          <w:color w:val="000000"/>
        </w:rPr>
        <w:t xml:space="preserve"> </w:t>
      </w:r>
      <w:r>
        <w:rPr>
          <w:rFonts w:ascii="Times New Roman;serif" w:hAnsi="Times New Roman;serif"/>
          <w:b w:val="false"/>
          <w:color w:val="000000"/>
          <w:sz w:val="20"/>
        </w:rPr>
        <w:t xml:space="preserve">(except for Item 7.01 and Exhibit 99.1), </w:t>
      </w:r>
      <w:hyperlink r:id="rId9">
        <w:r>
          <w:rPr>
            <w:rStyle w:val="InternetLink"/>
            <w:rFonts w:ascii="Times New Roman;serif" w:hAnsi="Times New Roman;serif"/>
            <w:b w:val="false"/>
            <w:color w:val="0000FF"/>
            <w:sz w:val="20"/>
            <w:u w:val="single"/>
          </w:rPr>
          <w:t>April 3, 2026</w:t>
        </w:r>
      </w:hyperlink>
      <w:r>
        <w:rPr>
          <w:rFonts w:ascii="Times New Roman;serif" w:hAnsi="Times New Roman;serif"/>
          <w:b w:val="false"/>
          <w:color w:val="000000"/>
          <w:sz w:val="20"/>
        </w:rPr>
        <w:t xml:space="preserve">, </w:t>
      </w:r>
      <w:hyperlink r:id="rId10">
        <w:r>
          <w:rPr>
            <w:rStyle w:val="InternetLink"/>
            <w:rFonts w:ascii="Times New Roman;serif" w:hAnsi="Times New Roman;serif"/>
            <w:b w:val="false"/>
            <w:color w:val="0000FF"/>
            <w:sz w:val="20"/>
            <w:u w:val="single"/>
          </w:rPr>
          <w:t>April 27, 2026</w:t>
        </w:r>
      </w:hyperlink>
      <w:r>
        <w:rPr>
          <w:rFonts w:ascii="Times New Roman;serif" w:hAnsi="Times New Roman;serif"/>
          <w:b w:val="false"/>
          <w:color w:val="000000"/>
          <w:sz w:val="20"/>
        </w:rPr>
        <w:t xml:space="preserve">, </w:t>
      </w:r>
      <w:hyperlink r:id="rId11">
        <w:r>
          <w:rPr>
            <w:rStyle w:val="InternetLink"/>
            <w:rFonts w:ascii="Times New Roman;serif" w:hAnsi="Times New Roman;serif"/>
            <w:b w:val="false"/>
            <w:color w:val="0000FF"/>
            <w:sz w:val="20"/>
            <w:u w:val="single"/>
          </w:rPr>
          <w:t>April 30, 2026</w:t>
        </w:r>
      </w:hyperlink>
      <w:r>
        <w:rPr>
          <w:color w:val="000000"/>
        </w:rPr>
        <w:t xml:space="preserve"> </w:t>
      </w:r>
      <w:r>
        <w:rPr>
          <w:rFonts w:ascii="Times New Roman;serif" w:hAnsi="Times New Roman;serif"/>
          <w:b w:val="false"/>
          <w:color w:val="000000"/>
          <w:sz w:val="20"/>
        </w:rPr>
        <w:t xml:space="preserve">(except for Item 7.01 and Exhibit 99.1), </w:t>
      </w:r>
      <w:hyperlink r:id="rId12">
        <w:r>
          <w:rPr>
            <w:rStyle w:val="InternetLink"/>
            <w:rFonts w:ascii="Times New Roman;serif" w:hAnsi="Times New Roman;serif"/>
            <w:b w:val="false"/>
            <w:color w:val="0000FF"/>
            <w:sz w:val="20"/>
            <w:u w:val="single"/>
          </w:rPr>
          <w:t>June 4, 2026</w:t>
        </w:r>
      </w:hyperlink>
      <w:r>
        <w:rPr>
          <w:color w:val="000000"/>
        </w:rPr>
        <w:t xml:space="preserve"> </w:t>
      </w:r>
      <w:r>
        <w:rPr>
          <w:rFonts w:ascii="Times New Roman;serif" w:hAnsi="Times New Roman;serif"/>
          <w:b w:val="false"/>
          <w:color w:val="000000"/>
          <w:sz w:val="20"/>
        </w:rPr>
        <w:t xml:space="preserve">(except for Item 7.01 and Exhibit 99.1), </w:t>
      </w:r>
      <w:hyperlink r:id="rId13">
        <w:r>
          <w:rPr>
            <w:rStyle w:val="InternetLink"/>
            <w:rFonts w:ascii="Times New Roman;serif" w:hAnsi="Times New Roman;serif"/>
            <w:b w:val="false"/>
            <w:color w:val="0000FF"/>
            <w:sz w:val="20"/>
            <w:u w:val="single"/>
          </w:rPr>
          <w:t>July 20, 2026</w:t>
        </w:r>
      </w:hyperlink>
      <w:r>
        <w:rPr>
          <w:rFonts w:ascii="Times New Roman;serif" w:hAnsi="Times New Roman;serif"/>
          <w:b w:val="false"/>
          <w:color w:val="000000"/>
          <w:sz w:val="20"/>
        </w:rPr>
        <w:t xml:space="preserve">, </w:t>
      </w:r>
      <w:hyperlink r:id="rId14">
        <w:r>
          <w:rPr>
            <w:rStyle w:val="InternetLink"/>
            <w:rFonts w:ascii="Times New Roman;serif" w:hAnsi="Times New Roman;serif"/>
            <w:b w:val="false"/>
            <w:color w:val="0000FF"/>
            <w:sz w:val="20"/>
            <w:u w:val="single"/>
          </w:rPr>
          <w:t>August 6, 2026</w:t>
        </w:r>
      </w:hyperlink>
      <w:r>
        <w:rPr>
          <w:color w:val="000000"/>
        </w:rPr>
        <w:t xml:space="preserve"> </w:t>
      </w:r>
      <w:r>
        <w:rPr>
          <w:rFonts w:ascii="Times New Roman;serif" w:hAnsi="Times New Roman;serif"/>
          <w:b w:val="false"/>
          <w:color w:val="000000"/>
          <w:sz w:val="20"/>
        </w:rPr>
        <w:t xml:space="preserve">(except for Items 2.02 and 7.01 and Exhibits 99.1 and 99.2), </w:t>
      </w:r>
      <w:hyperlink r:id="rId15">
        <w:r>
          <w:rPr>
            <w:rStyle w:val="InternetLink"/>
            <w:rFonts w:ascii="Times New Roman;serif" w:hAnsi="Times New Roman;serif"/>
            <w:b w:val="false"/>
            <w:color w:val="0000FF"/>
            <w:sz w:val="20"/>
            <w:u w:val="single"/>
          </w:rPr>
          <w:t>September 8, 2026</w:t>
        </w:r>
      </w:hyperlink>
      <w:r>
        <w:rPr>
          <w:color w:val="000000"/>
        </w:rPr>
        <w:t xml:space="preserve"> </w:t>
      </w:r>
      <w:r>
        <w:rPr>
          <w:rFonts w:ascii="Times New Roman;serif" w:hAnsi="Times New Roman;serif"/>
          <w:b w:val="false"/>
          <w:color w:val="000000"/>
          <w:sz w:val="20"/>
        </w:rPr>
        <w:t xml:space="preserve">(except for Item 7.01 and Exhibit 99.1), and </w:t>
      </w:r>
      <w:hyperlink r:id="rId16">
        <w:r>
          <w:rPr>
            <w:rStyle w:val="InternetLink"/>
          </w:rPr>
          <w:t>Septemb</w:t>
        </w:r>
      </w:hyperlink>
      <w:hyperlink r:id="rId17">
        <w:r>
          <w:rPr>
            <w:rStyle w:val="InternetLink"/>
          </w:rPr>
          <w:t>er 14, 2026</w:t>
        </w:r>
      </w:hyperlink>
      <w:r>
        <w:rPr>
          <w:color w:val="000000"/>
        </w:rPr>
        <w:t xml:space="preserve"> </w:t>
      </w:r>
      <w:r>
        <w:rPr>
          <w:rFonts w:ascii="Times New Roman;serif" w:hAnsi="Times New Roman;serif"/>
          <w:b w:val="false"/>
          <w:color w:val="000000"/>
          <w:sz w:val="20"/>
        </w:rPr>
        <w:t>(except for Item 7.01 and Exhibit 99.1); and</w:t>
      </w:r>
    </w:p>
    <w:p>
      <w:pPr>
        <w:pStyle w:val="TextBody"/>
        <w:bidi w:val="0"/>
        <w:spacing w:before="0" w:after="0"/>
        <w:jc w:val="both"/>
        <w:rPr/>
      </w:pPr>
      <w:r>
        <w:rPr/>
      </w:r>
    </w:p>
    <w:p>
      <w:pPr>
        <w:pStyle w:val="TextBody"/>
        <w:bidi w:val="0"/>
        <w:spacing w:lineRule="auto" w:line="276"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 The description of the Registrant’s Common Stock contained in Exhibit 4.6 to the Registrant’s Annual Report, including any amendments or reports filed for the purpose of updating such description.</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All documents subsequently filed by the Registrant pursuant to Section 13(a), 13(c), 14 or 15(d) of the Securities Exchange Act of 1934, as amended (the “Exchange Act”) prior to the filing of a post-effective amendment to the Registration Statement which indicates that all of the shares registered hereunder have been sold or which deregisters all of such shares then remaining unsold, shall be deemed to be incorporated by reference into this Registration Statement and to be a part hereof from the respective dates of filing of such documents</w:t>
      </w:r>
      <w:r>
        <w:rPr>
          <w:rFonts w:ascii="Times New Roman;serif" w:hAnsi="Times New Roman;serif"/>
          <w:b w:val="false"/>
          <w:color w:val="000000"/>
          <w:sz w:val="20"/>
          <w:shd w:fill="FFFFFF" w:val="clear"/>
        </w:rPr>
        <w:t>; provided, however, that documents or information deemed to have been furnished and not filed in accordance with Commission rules shall not be deemed incorporated by reference into this Registration Statement</w:t>
      </w:r>
      <w:r>
        <w:rPr>
          <w:rFonts w:ascii="Times New Roman;serif" w:hAnsi="Times New Roman;serif"/>
          <w:b w:val="false"/>
          <w:color w:val="000000"/>
          <w:sz w:val="20"/>
        </w:rPr>
        <w:t>.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that also is or is deemed to be incorporated by reference herein, modifies or supersedes such earlier statement. Any such statement so modified or superseded shall not be deemed, except as so modified or superseded, to constitute a part of this Registration Statement.</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no circumstances will any information filed under current Items 2.02 or 7.01 of Form 8-K, and exhibits furnished on such form that relate to such items, be deemed incorporated herein by reference unless such Form 8-K expressly provides to the contrary.</w:t>
      </w:r>
    </w:p>
    <w:p>
      <w:pPr>
        <w:pStyle w:val="TextBody"/>
        <w:bidi w:val="0"/>
        <w:spacing w:before="0" w:after="0"/>
        <w:ind w:left="0" w:right="0" w:firstLine="720"/>
        <w:jc w:val="both"/>
        <w:rPr/>
      </w:pPr>
      <w:r>
        <w:rPr/>
      </w:r>
    </w:p>
    <w:p>
      <w:pPr>
        <w:pStyle w:val="TextBody"/>
        <w:bidi w:val="0"/>
        <w:spacing w:lineRule="auto" w:line="276" w:before="0" w:after="0"/>
        <w:jc w:val="both"/>
        <w:rPr/>
      </w:pPr>
      <w:r>
        <w:rPr>
          <w:rFonts w:ascii="Times New Roman;serif" w:hAnsi="Times New Roman;serif"/>
          <w:b/>
          <w:color w:val="000000"/>
          <w:sz w:val="20"/>
        </w:rPr>
        <w:t>Item 4.</w:t>
      </w:r>
      <w:r>
        <w:rPr>
          <w:color w:val="000000"/>
        </w:rPr>
        <w:t xml:space="preserve"> </w:t>
      </w:r>
      <w:r>
        <w:rPr>
          <w:rFonts w:ascii="Times New Roman;serif" w:hAnsi="Times New Roman;serif"/>
          <w:b/>
          <w:color w:val="000000"/>
          <w:sz w:val="20"/>
        </w:rPr>
        <w:t>Description of Securities.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color w:val="000000"/>
          <w:sz w:val="20"/>
        </w:rPr>
        <w:t>Item 5.</w:t>
      </w:r>
      <w:r>
        <w:rPr>
          <w:color w:val="000000"/>
        </w:rPr>
        <w:t xml:space="preserve"> </w:t>
      </w:r>
      <w:r>
        <w:rPr>
          <w:rFonts w:ascii="Times New Roman;serif" w:hAnsi="Times New Roman;serif"/>
          <w:b/>
          <w:color w:val="000000"/>
          <w:sz w:val="20"/>
        </w:rPr>
        <w:t>Interests of Named Experts and Counsel.</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pPr>
      <w:r>
        <w:rPr>
          <w:rFonts w:ascii="Times New Roman;serif" w:hAnsi="Times New Roman;serif"/>
          <w:b/>
          <w:color w:val="000000"/>
          <w:sz w:val="20"/>
        </w:rPr>
        <w:t>Item 6.</w:t>
      </w:r>
      <w:r>
        <w:rPr>
          <w:color w:val="000000"/>
        </w:rPr>
        <w:t xml:space="preserve"> </w:t>
      </w:r>
      <w:r>
        <w:rPr>
          <w:rFonts w:ascii="Times New Roman;serif" w:hAnsi="Times New Roman;serif"/>
          <w:b/>
          <w:color w:val="000000"/>
          <w:sz w:val="20"/>
        </w:rPr>
        <w:t>Indemnification of Directors and Officers.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Section 145 of the General Corporation Law of the State of Delaware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Registrant has adopted provisions in the Registrant’s certificate of incorporation and bylaws that limit or eliminate the personal liability of the Registrant’s directors and executive officers to the fullest extent permitted by the DGCL, as it now exists or may in the future be amended. Consequently, a director or executive officer will not be personally liable to the Registrant or its stockholders for monetary damages or breach of fiduciary duty as a director, except for liability in limited circumstances. These limitations of liability do not alter director liability under the federal securities laws and do not affect the availability of equitable remedies such as an injunction or rescission.</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Registrant’s bylaws provide that:</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Registrant will indemnify its directors and executive officers and, in the discretion of its board of directors, certain employees and agents to the fullest extent permitted by the DGCL, as it now exists or may in the future be amended; and</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Registrant will advance reasonable expenses, including attorneys’ fees, to its directors and executive officers, and in the discretion of its board of directors, to certain employees and agents, in connection with legal proceedings relating to their service for or on behalf of the Registrant, subject to limited exceptions.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Registrant has or will enter into indemnification agreements with each of its directors, executive officers and certain other officers. These agreements provide that the Registrant will indemnify each of its directors, executive officers, certain other officers and, at times, their affiliates, to the fullest extent permitted by the DGCL.</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Registrant also maintains general liability insurance which covers certain liabilities of its directors and officers arising out of claims based on acts or omissions in their capacities as directors or officers, including liabilities under the Securities Act.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See also the Undertakings set forth in the response to Item 9 herein.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7. Exemption from Registration Claimed.</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28"/>
        <w:gridCol w:w="375"/>
        <w:gridCol w:w="377"/>
        <w:gridCol w:w="109"/>
        <w:gridCol w:w="109"/>
        <w:gridCol w:w="109"/>
        <w:gridCol w:w="1668"/>
        <w:gridCol w:w="1668"/>
        <w:gridCol w:w="1684"/>
        <w:gridCol w:w="363"/>
        <w:gridCol w:w="363"/>
        <w:gridCol w:w="368"/>
        <w:gridCol w:w="318"/>
        <w:gridCol w:w="318"/>
        <w:gridCol w:w="305"/>
        <w:gridCol w:w="245"/>
        <w:gridCol w:w="245"/>
        <w:gridCol w:w="246"/>
        <w:gridCol w:w="263"/>
        <w:gridCol w:w="263"/>
        <w:gridCol w:w="381"/>
      </w:tblGrid>
      <w:tr>
        <w:trPr/>
        <w:tc>
          <w:tcPr>
            <w:tcW w:w="42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Title</w:t>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333-232400</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7/12/2019</w:t>
            </w:r>
          </w:p>
        </w:tc>
      </w:tr>
      <w:tr>
        <w:trPr/>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Bylaws.</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333-232400</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7/12/2019</w:t>
            </w:r>
          </w:p>
        </w:tc>
      </w:tr>
      <w:tr>
        <w:trPr/>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to Amended and Restated Bylaws.</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001-38993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8/02/2021</w:t>
            </w:r>
          </w:p>
        </w:tc>
      </w:tr>
      <w:tr>
        <w:trPr/>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Form of Common Stock Certificate of the Registrant.</w:t>
              </w:r>
            </w:hyperlink>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333-232400</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7/12/2019</w:t>
            </w:r>
          </w:p>
        </w:tc>
      </w:tr>
      <w:tr>
        <w:trPr/>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Health Catalyst 2026 Employment Inducement Incentive Plan, and forms of agreement thereunder.</w:t>
              </w:r>
            </w:hyperlink>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001-38993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9/08/2026</w:t>
            </w:r>
          </w:p>
        </w:tc>
      </w:tr>
      <w:tr>
        <w:trPr/>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forms-8ex51xsept2026o.htm">
              <w:r>
                <w:rPr>
                  <w:rStyle w:val="InternetLink"/>
                  <w:rFonts w:ascii="Times New Roman;serif" w:hAnsi="Times New Roman;serif"/>
                  <w:b w:val="false"/>
                  <w:color w:val="0000FF"/>
                  <w:sz w:val="20"/>
                  <w:u w:val="single"/>
                </w:rPr>
                <w:t>Opinion of Latham &amp; Watkins LLP.</w:t>
              </w:r>
            </w:hyperlink>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forms-8ex231xsept2026.htm">
              <w:r>
                <w:rPr>
                  <w:rStyle w:val="InternetLink"/>
                  <w:rFonts w:ascii="Times New Roman;serif" w:hAnsi="Times New Roman;serif"/>
                  <w:b w:val="false"/>
                  <w:color w:val="0000FF"/>
                  <w:sz w:val="20"/>
                  <w:u w:val="single"/>
                </w:rPr>
                <w:t>Consent of Independent Registered Public Accounting Firm.</w:t>
              </w:r>
            </w:hyperlink>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forms-8ex51xsept2026o.htm">
              <w:r>
                <w:rPr>
                  <w:rStyle w:val="InternetLink"/>
                  <w:rFonts w:ascii="Times New Roman;serif" w:hAnsi="Times New Roman;serif"/>
                  <w:b w:val="false"/>
                  <w:color w:val="0000FF"/>
                  <w:sz w:val="20"/>
                  <w:u w:val="single"/>
                </w:rPr>
                <w:t>Consent of Latham &amp; Watkins LLP (included in Exhibit 5.1).</w:t>
              </w:r>
            </w:hyperlink>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9dd29ebcc44579be743610bf13478c_16">
              <w:r>
                <w:rPr>
                  <w:rStyle w:val="InternetLink"/>
                  <w:rFonts w:ascii="Times New Roman;serif" w:hAnsi="Times New Roman;serif"/>
                  <w:b w:val="false"/>
                  <w:color w:val="0000FF"/>
                  <w:sz w:val="20"/>
                  <w:u w:val="single"/>
                </w:rPr>
                <w:t>Power of Attorney (contained on signature page hereto).</w:t>
              </w:r>
            </w:hyperlink>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South Jordan, State of Utah, on September 14, 2026.</w:t>
      </w:r>
    </w:p>
    <w:p>
      <w:pPr>
        <w:pStyle w:val="TextBody"/>
        <w:bidi w:val="0"/>
        <w:spacing w:before="0" w:after="0"/>
        <w:ind w:left="0" w:right="0" w:firstLine="720"/>
        <w:jc w:val="both"/>
        <w:rPr/>
      </w:pPr>
      <w:r>
        <w:rPr/>
      </w:r>
    </w:p>
    <w:tbl>
      <w:tblPr>
        <w:tblW w:w="3608" w:type="dxa"/>
        <w:jc w:val="left"/>
        <w:tblInd w:w="0" w:type="dxa"/>
        <w:tblLayout w:type="fixed"/>
        <w:tblCellMar>
          <w:top w:w="28" w:type="dxa"/>
          <w:left w:w="28" w:type="dxa"/>
          <w:bottom w:w="28" w:type="dxa"/>
          <w:right w:w="28" w:type="dxa"/>
        </w:tblCellMar>
      </w:tblPr>
      <w:tblGrid>
        <w:gridCol w:w="124"/>
        <w:gridCol w:w="109"/>
        <w:gridCol w:w="109"/>
        <w:gridCol w:w="399"/>
        <w:gridCol w:w="399"/>
        <w:gridCol w:w="39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HEALTH CATALYST,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Alger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Alger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left"/>
        <w:rPr/>
      </w:pPr>
      <w:r>
        <w:rPr/>
      </w:r>
    </w:p>
    <w:p>
      <w:pPr>
        <w:pStyle w:val="TextBody"/>
        <w:bidi w:val="0"/>
        <w:spacing w:before="0" w:after="0"/>
        <w:ind w:left="0" w:right="0" w:firstLine="39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POWER OF ATTORNEY AND SIGNATURES</w:t>
      </w:r>
    </w:p>
    <w:p>
      <w:pPr>
        <w:pStyle w:val="TextBody"/>
        <w:bidi w:val="0"/>
        <w:spacing w:before="0" w:after="0"/>
        <w:jc w:val="center"/>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KNOW ALL PERSONS BY THESE PRESENTS, that each person whose signature appears below constitutes and appoints Simeon Kohl, Jason Alger, and Benjamin Landry, and each of them, as his or her true and lawful attorneys-in-fact and agents, with full power of substitution and resubstitution, for him or her and in his or her name, place and stead, in any and all capacities, to sign the Registration Statement on Form S-8 of Health Catalyst, Inc., and any or all amendments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w:t>
      </w:r>
    </w:p>
    <w:p>
      <w:pPr>
        <w:pStyle w:val="TextBody"/>
        <w:bidi w:val="0"/>
        <w:spacing w:before="0" w:after="0"/>
        <w:ind w:left="0" w:right="0" w:firstLine="490"/>
        <w:jc w:val="both"/>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this Registration Statement on Form S-8 has been signed by the following persons in the capacities and on the dates indicated.</w:t>
      </w:r>
    </w:p>
    <w:p>
      <w:pPr>
        <w:pStyle w:val="TextBody"/>
        <w:bidi w:val="0"/>
        <w:spacing w:before="0" w:after="0"/>
        <w:ind w:left="0" w:right="0" w:firstLine="540"/>
        <w:jc w:val="both"/>
        <w:rPr/>
      </w:pPr>
      <w:r>
        <w:rPr/>
      </w:r>
    </w:p>
    <w:tbl>
      <w:tblPr>
        <w:tblW w:w="8137"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269"/>
        <w:gridCol w:w="1269"/>
        <w:gridCol w:w="1287"/>
        <w:gridCol w:w="109"/>
        <w:gridCol w:w="109"/>
        <w:gridCol w:w="109"/>
        <w:gridCol w:w="516"/>
        <w:gridCol w:w="516"/>
        <w:gridCol w:w="737"/>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Simeon Kohl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14, 2026</w:t>
            </w:r>
          </w:p>
        </w:tc>
      </w:tr>
      <w:tr>
        <w:trPr/>
        <w:tc>
          <w:tcPr>
            <w:tcW w:w="1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Simeon Kohl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and Operating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Alger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14, 2026</w:t>
            </w:r>
          </w:p>
        </w:tc>
      </w:tr>
      <w:tr>
        <w:trPr/>
        <w:tc>
          <w:tcPr>
            <w:tcW w:w="1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Alger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Mathew Arens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14, 2026</w:t>
            </w:r>
          </w:p>
        </w:tc>
      </w:tr>
      <w:tr>
        <w:trPr/>
        <w:tc>
          <w:tcPr>
            <w:tcW w:w="1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Mathew Arens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Jill Hoggard Green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14, 2026</w:t>
            </w:r>
          </w:p>
        </w:tc>
      </w:tr>
      <w:tr>
        <w:trPr/>
        <w:tc>
          <w:tcPr>
            <w:tcW w:w="1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Jill Hoggard Green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Nelson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14, 2026</w:t>
            </w:r>
          </w:p>
        </w:tc>
      </w:tr>
      <w:tr>
        <w:trPr/>
        <w:tc>
          <w:tcPr>
            <w:tcW w:w="1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Nelson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Julie Larson-Green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14, 2026</w:t>
            </w:r>
          </w:p>
        </w:tc>
      </w:tr>
      <w:tr>
        <w:trPr/>
        <w:tc>
          <w:tcPr>
            <w:tcW w:w="1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Larson-Green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Spencer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14, 2026</w:t>
            </w:r>
          </w:p>
        </w:tc>
      </w:tr>
      <w:tr>
        <w:trPr/>
        <w:tc>
          <w:tcPr>
            <w:tcW w:w="1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Justin Spencer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5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107</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Calculation of Filing Fee Tables</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Form S-8</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(Form Type)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Health Catalyst, Inc.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Table 1: Newly Registered Securities</w:t>
      </w:r>
    </w:p>
    <w:tbl>
      <w:tblPr>
        <w:tblW w:w="10637"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584"/>
        <w:gridCol w:w="301"/>
        <w:gridCol w:w="271"/>
        <w:gridCol w:w="109"/>
        <w:gridCol w:w="109"/>
        <w:gridCol w:w="109"/>
        <w:gridCol w:w="365"/>
        <w:gridCol w:w="365"/>
        <w:gridCol w:w="366"/>
        <w:gridCol w:w="109"/>
        <w:gridCol w:w="109"/>
        <w:gridCol w:w="109"/>
        <w:gridCol w:w="350"/>
        <w:gridCol w:w="350"/>
        <w:gridCol w:w="351"/>
        <w:gridCol w:w="109"/>
        <w:gridCol w:w="109"/>
        <w:gridCol w:w="109"/>
        <w:gridCol w:w="330"/>
        <w:gridCol w:w="330"/>
        <w:gridCol w:w="331"/>
        <w:gridCol w:w="109"/>
        <w:gridCol w:w="109"/>
        <w:gridCol w:w="109"/>
        <w:gridCol w:w="375"/>
        <w:gridCol w:w="330"/>
        <w:gridCol w:w="331"/>
        <w:gridCol w:w="109"/>
        <w:gridCol w:w="109"/>
        <w:gridCol w:w="109"/>
        <w:gridCol w:w="329"/>
        <w:gridCol w:w="329"/>
        <w:gridCol w:w="333"/>
        <w:gridCol w:w="109"/>
        <w:gridCol w:w="109"/>
        <w:gridCol w:w="109"/>
        <w:gridCol w:w="351"/>
        <w:gridCol w:w="351"/>
        <w:gridCol w:w="499"/>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Security Class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Fee Calculation Rule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Amount Registered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Proposed Maximum Offering Price 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Aggregate Offering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of Registration Fee</w:t>
            </w:r>
          </w:p>
        </w:tc>
      </w:tr>
      <w:tr>
        <w:trPr/>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 reserved for issuance pursuant to the Health Catalyst, Inc. 2026 Employment Inducement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Rule 457(c) and Rule 457(h)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2,747,385</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$1.67</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$4,588,133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0.0001381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$634.00</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Offering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2,747,385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$4,588,133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$634.00</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Fee Offsets: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Net Fee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$634.00</w:t>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_________________</w:t>
      </w:r>
    </w:p>
    <w:p>
      <w:pPr>
        <w:pStyle w:val="TextBody"/>
        <w:bidi w:val="0"/>
        <w:spacing w:lineRule="auto" w:line="26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(1) Pursuant to Rule 416 of the Securities Act of 1933, as amended (the “Securities Act”), this Registration Statement shall also cover any additional shares of the Registrant’s Common Stock, $0.001 par value per share (“Common Stock”), that become issuable under the Registrant’s Health Catalyst Inc. 2026 Employment Inducement Incentive Plan (the "2026 Inducement Plan") by reason of any stock dividend, stock split, recapitalization or other similar transaction effected without receipt of consideration that increases the number of outstanding shares of Common Stock. </w:t>
      </w:r>
    </w:p>
    <w:p>
      <w:pPr>
        <w:pStyle w:val="TextBody"/>
        <w:bidi w:val="0"/>
        <w:spacing w:before="0" w:after="0"/>
        <w:ind w:left="0" w:right="0" w:hanging="270"/>
        <w:jc w:val="both"/>
        <w:rPr/>
      </w:pPr>
      <w:r>
        <w:rPr/>
      </w:r>
    </w:p>
    <w:p>
      <w:pPr>
        <w:pStyle w:val="TextBody"/>
        <w:bidi w:val="0"/>
        <w:spacing w:lineRule="auto" w:line="26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 Estimated solely for the purpose of calculating the registration fee pursuant to Rules 457(c) and (h) under the Securities Act on the basis of $1.67 per share, which represents the average of the high and low prices of the Registrant’s Common Stock as reported on the Nasdaq Global Select Market on September 8, 2026.</w:t>
      </w:r>
    </w:p>
    <w:p>
      <w:pPr>
        <w:pStyle w:val="TextBody"/>
        <w:bidi w:val="0"/>
        <w:spacing w:before="0" w:after="0"/>
        <w:ind w:left="0" w:right="0" w:hanging="270"/>
        <w:jc w:val="left"/>
        <w:rPr/>
      </w:pPr>
      <w:r>
        <w:rPr/>
      </w:r>
    </w:p>
    <w:p>
      <w:pPr>
        <w:pStyle w:val="TextBody"/>
        <w:bidi w:val="0"/>
        <w:spacing w:lineRule="auto" w:line="26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(3) Represents 2,747,385 shares of common stock available for future issuance under the 2026 Inducement Plan. </w:t>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lineRule="auto" w:line="276"/>
        <w:ind w:left="0" w:right="0" w:hanging="270"/>
        <w:jc w:val="left"/>
        <w:rPr/>
      </w:pPr>
      <w:r>
        <w:rPr>
          <w:rFonts w:ascii="Times New Roman;serif" w:hAnsi="Times New Roman;serif"/>
          <w:b/>
          <w:color w:val="000000"/>
          <w:sz w:val="24"/>
        </w:rPr>
        <w:t>Table 2: Fee Offset Claims and Sources    </w:t>
      </w:r>
      <w:r>
        <w:rPr>
          <w:color w:val="000000"/>
        </w:rPr>
        <w:t xml:space="preserve">☒ </w:t>
      </w:r>
      <w:r>
        <w:rPr>
          <w:rFonts w:ascii="Times New Roman;serif" w:hAnsi="Times New Roman;serif"/>
          <w:b w:val="false"/>
          <w:color w:val="000000"/>
          <w:sz w:val="20"/>
        </w:rPr>
        <w:t>Not Applicable</w:t>
      </w: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5.1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2743200" cy="43815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0"/>
                    <a:stretch>
                      <a:fillRect/>
                    </a:stretch>
                  </pic:blipFill>
                  <pic:spPr bwMode="auto">
                    <a:xfrm>
                      <a:off x="0" y="0"/>
                      <a:ext cx="2743200" cy="4381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September 14,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Health Catalyst, Inc.</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10897 South River Front Parkway #300</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South Jordan, UT 84095</w:t>
      </w:r>
    </w:p>
    <w:p>
      <w:pPr>
        <w:pStyle w:val="TextBody"/>
        <w:bidi w:val="0"/>
        <w:spacing w:before="0" w:after="0"/>
        <w:jc w:val="left"/>
        <w:rPr/>
      </w:pPr>
      <w:r>
        <w:rPr/>
      </w:r>
    </w:p>
    <w:p>
      <w:pPr>
        <w:pStyle w:val="TextBody"/>
        <w:bidi w:val="0"/>
        <w:spacing w:before="0" w:after="0"/>
        <w:jc w:val="right"/>
        <w:rPr/>
      </w:pPr>
      <w:r>
        <w:rPr/>
        <w:drawing>
          <wp:inline distT="0" distB="0" distL="0" distR="0">
            <wp:extent cx="2476500" cy="345757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21"/>
                    <a:stretch>
                      <a:fillRect/>
                    </a:stretch>
                  </pic:blipFill>
                  <pic:spPr bwMode="auto">
                    <a:xfrm>
                      <a:off x="0" y="0"/>
                      <a:ext cx="2476500" cy="34575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120"/>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Re: Registration Statement on Form S-8; 2,747,385 shares of common stock of Health Catalyst, Inc., $0.001 par value per share</w:t>
      </w:r>
    </w:p>
    <w:p>
      <w:pPr>
        <w:pStyle w:val="TextBody"/>
        <w:bidi w:val="0"/>
        <w:spacing w:before="0" w:after="120"/>
        <w:ind w:left="0" w:right="0" w:hanging="45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To the addressee set forth above: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We have acted as special counsel to Health Catalyst,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in connection with the registration by the Company of an aggregate of 2,747,385 shares (the “</w:t>
      </w:r>
      <w:r>
        <w:rPr>
          <w:rFonts w:ascii="Times New Roman;serif" w:hAnsi="Times New Roman;serif"/>
          <w:b/>
          <w:i/>
          <w:color w:val="000000"/>
          <w:sz w:val="24"/>
        </w:rPr>
        <w:t>Shares</w:t>
      </w:r>
      <w:r>
        <w:rPr>
          <w:color w:val="000000"/>
        </w:rPr>
        <w:t>”</w:t>
      </w:r>
      <w:r>
        <w:rPr>
          <w:rFonts w:ascii="Times New Roman;serif" w:hAnsi="Times New Roman;serif"/>
          <w:b w:val="false"/>
          <w:color w:val="000000"/>
          <w:sz w:val="24"/>
        </w:rPr>
        <w:t>) of common stock of the Company, $0.001 par value per share, issuable under the Health Catalyst, Inc. 2026 Employment Inducement Incentive Plan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The Shares are included in a registration statement on Form S-8 under the Securities Act of 1933, as amended (the “</w:t>
      </w:r>
      <w:r>
        <w:rPr>
          <w:rFonts w:ascii="Times New Roman;serif" w:hAnsi="Times New Roman;serif"/>
          <w:b/>
          <w:i/>
          <w:color w:val="000000"/>
          <w:sz w:val="24"/>
        </w:rPr>
        <w:t>Act</w:t>
      </w:r>
      <w:r>
        <w:rPr>
          <w:color w:val="000000"/>
        </w:rPr>
        <w:t>”</w:t>
      </w:r>
      <w:r>
        <w:rPr>
          <w:rFonts w:ascii="Times New Roman;serif" w:hAnsi="Times New Roman;serif"/>
          <w:b w:val="false"/>
          <w:color w:val="000000"/>
          <w:sz w:val="24"/>
        </w:rPr>
        <w:t>), filed with the Securities and Exchange Commission (the “</w:t>
      </w:r>
      <w:r>
        <w:rPr>
          <w:rFonts w:ascii="Times New Roman;serif" w:hAnsi="Times New Roman;serif"/>
          <w:b/>
          <w:i/>
          <w:color w:val="000000"/>
          <w:sz w:val="24"/>
        </w:rPr>
        <w:t>Commission</w:t>
      </w:r>
      <w:r>
        <w:rPr>
          <w:color w:val="000000"/>
        </w:rPr>
        <w:t>”</w:t>
      </w:r>
      <w:r>
        <w:rPr>
          <w:rFonts w:ascii="Times New Roman;serif" w:hAnsi="Times New Roman;serif"/>
          <w:b w:val="false"/>
          <w:color w:val="000000"/>
          <w:sz w:val="24"/>
        </w:rPr>
        <w:t>) on September 14, 2026 (the “</w:t>
      </w:r>
      <w:r>
        <w:rPr>
          <w:rFonts w:ascii="Times New Roman;serif" w:hAnsi="Times New Roman;serif"/>
          <w:b/>
          <w:i/>
          <w:color w:val="000000"/>
          <w:sz w:val="24"/>
        </w:rPr>
        <w:t>Registration Statement</w:t>
      </w:r>
      <w:r>
        <w:rPr>
          <w:color w:val="000000"/>
        </w:rPr>
        <w:t>”</w:t>
      </w:r>
      <w:r>
        <w:rPr>
          <w:rFonts w:ascii="Times New Roman;serif" w:hAnsi="Times New Roman;serif"/>
          <w:b w:val="false"/>
          <w:color w:val="000000"/>
          <w:sz w:val="24"/>
        </w:rPr>
        <w: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issuance of the Shares.</w:t>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rFonts w:ascii="Times New Roman;serif" w:hAnsi="Times New Roman;serif"/>
          <w:b w:val="false"/>
          <w:color w:val="000000"/>
          <w:sz w:val="24"/>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serif" w:hAnsi="Times New Roman;serif"/>
          <w:b/>
          <w:i/>
          <w:color w:val="000000"/>
          <w:sz w:val="24"/>
        </w:rPr>
        <w:t>DGCL</w:t>
      </w:r>
      <w:r>
        <w:rPr>
          <w:color w:val="000000"/>
        </w:rPr>
        <w:t>”</w:t>
      </w:r>
      <w:r>
        <w:rPr>
          <w:rFonts w:ascii="Times New Roman;serif" w:hAnsi="Times New Roman;serif"/>
          <w:b w:val="false"/>
          <w:color w:val="000000"/>
          <w:sz w:val="24"/>
        </w:rPr>
        <w:t>), and we express no opinion with respect to any other laws.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5.1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in excess of par value in the circumstances contemplated by and pursuant to the Plan, assuming in each case that the individual issuances, grants or awards under the Plan are duly authorized by all necessary corporate action of the Company and duly issued, granted or awarded and exercised in accordance with the requirements of law and the Plan (and the agreements and awards duly adopted thereunder and in accordance therewith), the issuance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before="0" w:after="120"/>
        <w:jc w:val="left"/>
        <w:rPr/>
      </w:pPr>
      <w:r>
        <w:rPr/>
      </w:r>
    </w:p>
    <w:p>
      <w:pPr>
        <w:pStyle w:val="TextBody"/>
        <w:bidi w:val="0"/>
        <w:spacing w:lineRule="auto" w:line="276" w:before="0" w:after="12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/s/ Latham &amp; Watkins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color w:val="000000"/>
          <w:sz w:val="22"/>
        </w:rPr>
      </w:pPr>
      <w:r>
        <w:rPr>
          <w:rFonts w:ascii="Times New Roman;serif" w:hAnsi="Times New Roman;serif"/>
          <w:b/>
          <w:color w:val="000000"/>
          <w:sz w:val="22"/>
        </w:rPr>
        <w:t>Exhibit 23.1</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We consent to the incorporation by reference in the Registration Statement (Form S-8) pertaining to the Health Catalyst, Inc. 2026 Employment Inducement Incentive Plan of our reports dated March 12, 2026, with respect to the consolidated financial statements of Health Catalyst, Inc. and the effectiveness of internal control over financial reporting of Health Catalyst, Inc. included in its Annual Report (Form 10-K as amended by Form 10-K/A) for the year ended December 31, 2025, filed with the Securities and Exchange Commission.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/s/ Ernst &amp; Young LLP</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Salt Lake City, UT</w:t>
      </w:r>
    </w:p>
    <w:p>
      <w:pPr>
        <w:pStyle w:val="TextBody"/>
        <w:bidi w:val="0"/>
        <w:spacing w:lineRule="auto" w:line="256" w:before="0" w:after="0"/>
        <w:jc w:val="both"/>
        <w:rPr>
          <w:rFonts w:ascii="Times New Roman;serif" w:hAnsi="Times New Roman;serif"/>
          <w:b w:val="false"/>
          <w:color w:val="000000"/>
          <w:sz w:val="22"/>
        </w:rPr>
      </w:pPr>
      <w:r>
        <w:rPr>
          <w:rFonts w:ascii="Times New Roman;serif" w:hAnsi="Times New Roman;serif"/>
          <w:b w:val="false"/>
          <w:color w:val="000000"/>
          <w:sz w:val="22"/>
        </w:rPr>
        <w:t>September 14,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636422/000163642226000035/hcat-20251231.htm" TargetMode="External"/><Relationship Id="rId3" Type="http://schemas.openxmlformats.org/officeDocument/2006/relationships/hyperlink" Target="https://www.sec.gov/ix?doc=/Archives/edgar/data/0001636422/000163642226000055/hcat-20251231.htm" TargetMode="External"/><Relationship Id="rId4" Type="http://schemas.openxmlformats.org/officeDocument/2006/relationships/hyperlink" Target="https://www.sec.gov/ix?doc=/Archives/edgar/data/0001636422/000163642226000055/hcat-20251231.htm" TargetMode="External"/><Relationship Id="rId5" Type="http://schemas.openxmlformats.org/officeDocument/2006/relationships/hyperlink" Target="https://www.sec.gov/ix?doc=/Archives/edgar/data/0001636422/000163642226000066/hcat-20260331.htm" TargetMode="External"/><Relationship Id="rId6" Type="http://schemas.openxmlformats.org/officeDocument/2006/relationships/hyperlink" Target="https://www.sec.gov/ix?doc=/Archives/edgar/data/0001636422/000163642226000097/hcat-20260630.htm" TargetMode="External"/><Relationship Id="rId7" Type="http://schemas.openxmlformats.org/officeDocument/2006/relationships/hyperlink" Target="https://www.sec.gov/ix?doc=/Archives/edgar/data/0001636422/000163642226000010/hcat-20260120.htm" TargetMode="External"/><Relationship Id="rId8" Type="http://schemas.openxmlformats.org/officeDocument/2006/relationships/hyperlink" Target="https://www.sec.gov/ix?doc=/Archives/edgar/data/0001636422/000163642226000015/hcat-20260212.htm" TargetMode="External"/><Relationship Id="rId9" Type="http://schemas.openxmlformats.org/officeDocument/2006/relationships/hyperlink" Target="https://www.sec.gov/ix?doc=/Archives/edgar/data/0001636422/000163642226000042/hcat-20260331.htm" TargetMode="External"/><Relationship Id="rId10" Type="http://schemas.openxmlformats.org/officeDocument/2006/relationships/hyperlink" Target="https://www.sec.gov/ix?doc=/Archives/edgar/data/0001636422/000163642226000045/hcat-20260424.htm" TargetMode="External"/><Relationship Id="rId11" Type="http://schemas.openxmlformats.org/officeDocument/2006/relationships/hyperlink" Target="https://www.sec.gov/ix?doc=/Archives/edgar/data/0001636422/000163642226000051/hcat-20260429.htm" TargetMode="External"/><Relationship Id="rId12" Type="http://schemas.openxmlformats.org/officeDocument/2006/relationships/hyperlink" Target="https://www.sec.gov/ix?doc=/Archives/edgar/data/0001636422/000163642226000082/hcat-20260604.htm" TargetMode="External"/><Relationship Id="rId13" Type="http://schemas.openxmlformats.org/officeDocument/2006/relationships/hyperlink" Target="https://www.sec.gov/ix?doc=/Archives/edgar/data/0001636422/000163642226000085/hcat-20260716.htm" TargetMode="External"/><Relationship Id="rId14" Type="http://schemas.openxmlformats.org/officeDocument/2006/relationships/hyperlink" Target="https://www.sec.gov/ix?doc=/Archives/edgar/data/0001636422/000163642226000091/hcat-20260731.htm" TargetMode="External"/><Relationship Id="rId15" Type="http://schemas.openxmlformats.org/officeDocument/2006/relationships/hyperlink" Target="https://www.sec.gov/ix?doc=/Archives/edgar/data/0001636422/000163642226000104/hcat-20260904.htm" TargetMode="External"/><Relationship Id="rId16" Type="http://schemas.openxmlformats.org/officeDocument/2006/relationships/hyperlink" Target="https://www.sec.gov/ix?doc=/Archives/edgar/data/0001636422/000163642226000111/hcat-20260911.htm" TargetMode="External"/><Relationship Id="rId17" Type="http://schemas.openxmlformats.org/officeDocument/2006/relationships/hyperlink" Target="https://www.sec.gov/ix?doc=/Archives/edgar/data/0001636422/000163642226000111/hcat-20260911.htm" TargetMode="External"/><Relationship Id="rId18" Type="http://schemas.openxmlformats.org/officeDocument/2006/relationships/hyperlink" Target="https://www.sec.gov/Archives/edgar/data/1636422/000162828019008720/exhibit41s-1a1.htm" TargetMode="External"/><Relationship Id="rId19" Type="http://schemas.openxmlformats.org/officeDocument/2006/relationships/hyperlink" Target="https://www.sec.gov/Archives/edgar/data/1636422/000163642226000104/exhibit105-2026employmenti.htm" TargetMode="External"/><Relationship Id="rId20" Type="http://schemas.openxmlformats.org/officeDocument/2006/relationships/image" Target="media/image1.jpeg"/><Relationship Id="rId21" Type="http://schemas.openxmlformats.org/officeDocument/2006/relationships/image" Target="media/image2.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2899</Words>
  <Characters>15994</Characters>
  <CharactersWithSpaces>18691</CharactersWithSpaces>
  <Paragraphs>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