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 xml:space="preserve">Washington, D.C. 20549 </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SCHEDULE 14A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Proxy Statement Pursuant to Section 14(a) of the </w:t>
      </w:r>
    </w:p>
    <w:p>
      <w:pPr>
        <w:pStyle w:val="TextBody"/>
        <w:bidi w:val="0"/>
        <w:spacing w:lineRule="auto" w:line="288" w:before="0" w:after="0"/>
        <w:jc w:val="center"/>
        <w:rPr/>
      </w:pPr>
      <w:r>
        <w:rPr>
          <w:rFonts w:ascii="Times New Roman;serif" w:hAnsi="Times New Roman;serif"/>
          <w:b/>
          <w:color w:val="000000"/>
          <w:sz w:val="24"/>
        </w:rPr>
        <w:t xml:space="preserve">Securities Exchange Act of 1934 </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Filed by the Registrant  ☒                             Filed by a Party other than the Registrant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p>
      <w:pPr>
        <w:pStyle w:val="TextBody"/>
        <w:bidi w:val="0"/>
        <w:spacing w:lineRule="auto" w:line="288" w:before="0" w:after="0"/>
        <w:jc w:val="left"/>
        <w:rPr>
          <w:color w:val="000000"/>
        </w:rPr>
      </w:pPr>
      <w:r>
        <w:rPr>
          <w:color w:val="000000"/>
        </w:rPr>
        <w:t> </w:t>
      </w:r>
    </w:p>
    <w:tbl>
      <w:tblPr>
        <w:tblW w:w="74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82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51"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51"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51"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51"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 240.14a-12</w:t>
            </w:r>
          </w:p>
        </w:tc>
      </w:tr>
    </w:tbl>
    <w:p>
      <w:pPr>
        <w:pStyle w:val="TextBody"/>
        <w:bidi w:val="0"/>
        <w:spacing w:lineRule="auto" w:line="288" w:before="360" w:after="283"/>
        <w:jc w:val="center"/>
        <w:rPr>
          <w:rFonts w:ascii="Times New Roman;serif" w:hAnsi="Times New Roman;serif"/>
          <w:b/>
          <w:color w:val="000000"/>
          <w:sz w:val="44"/>
        </w:rPr>
      </w:pPr>
      <w:r>
        <w:rPr>
          <w:rFonts w:ascii="Times New Roman;serif" w:hAnsi="Times New Roman;serif"/>
          <w:b/>
          <w:color w:val="000000"/>
          <w:sz w:val="44"/>
        </w:rPr>
        <w:t xml:space="preserve">HEALTH CATALYST,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(Name of Registrant as Specified In Its Charter)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(Name of Person(s) Filing Proxy Statement, if other than the Registrant) </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Filing Fee (Check the appropriate box): </w:t>
      </w:r>
    </w:p>
    <w:tbl>
      <w:tblPr>
        <w:tblW w:w="97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64"/>
        <w:gridCol w:w="664"/>
        <w:gridCol w:w="664"/>
        <w:gridCol w:w="664"/>
        <w:gridCol w:w="664"/>
        <w:gridCol w:w="664"/>
        <w:gridCol w:w="1481"/>
        <w:gridCol w:w="1481"/>
        <w:gridCol w:w="2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366" w:type="dxa"/>
            <w:gridSpan w:val="12"/>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below per Exchange Act Rules 14a-6(i)(1) and 0-11.</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19"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7047"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of each class of securities to which transaction applies:</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20"/>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number of securities to which transaction applies:</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20"/>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90220"/>
                <wp:effectExtent l="0" t="0" r="0" b="0"/>
                <wp:wrapNone/>
                <wp:docPr id="1" name="Frame1"/>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3"/>
        <w:gridCol w:w="123"/>
        <w:gridCol w:w="123"/>
        <w:gridCol w:w="122"/>
        <w:gridCol w:w="122"/>
        <w:gridCol w:w="122"/>
        <w:gridCol w:w="2613"/>
        <w:gridCol w:w="2558"/>
        <w:gridCol w:w="36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unit price or other underlying value of transaction computed pursuant to Exchange Act Rule 0-11 (set forth the amount on which the filing fee is calculated and state how it was determined):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Proposed maximum aggregate value of transaction: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fee paid: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Previously Paid: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Schedule or Registration Statement 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Filing Party: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Filed: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0220"/>
                <wp:effectExtent l="0" t="0" r="0" b="0"/>
                <wp:wrapNone/>
                <wp:docPr id="2" name="Frame2"/>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240" w:after="120"/>
        <w:jc w:val="center"/>
        <w:rPr/>
      </w:pPr>
      <w:r>
        <w:rPr/>
        <w:drawing>
          <wp:inline distT="0" distB="0" distL="0" distR="0">
            <wp:extent cx="7543800" cy="97536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543800" cy="9753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120"/>
        <w:jc w:val="center"/>
        <w:rPr/>
      </w:pPr>
      <w:r>
        <w:rPr/>
        <w:drawing>
          <wp:inline distT="0" distB="0" distL="0" distR="0">
            <wp:extent cx="7543800" cy="97536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7543800" cy="97536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261</Words>
  <Characters>1362</Characters>
  <CharactersWithSpaces>1646</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