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4,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5684" w:type="dxa"/>
        <w:jc w:val="center"/>
        <w:tblInd w:w="0" w:type="dxa"/>
        <w:tblLayout w:type="fixed"/>
        <w:tblCellMar>
          <w:top w:w="28" w:type="dxa"/>
          <w:left w:w="28" w:type="dxa"/>
          <w:bottom w:w="28" w:type="dxa"/>
          <w:right w:w="28" w:type="dxa"/>
        </w:tblCellMar>
      </w:tblPr>
      <w:tblGrid>
        <w:gridCol w:w="780"/>
        <w:gridCol w:w="687"/>
        <w:gridCol w:w="693"/>
        <w:gridCol w:w="687"/>
        <w:gridCol w:w="687"/>
        <w:gridCol w:w="695"/>
        <w:gridCol w:w="424"/>
        <w:gridCol w:w="424"/>
        <w:gridCol w:w="607"/>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001-38993</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15"/>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 </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w:t>
      </w:r>
    </w:p>
    <w:p>
      <w:pPr>
        <w:pStyle w:val="TextBody"/>
        <w:bidi w:val="0"/>
        <w:spacing w:before="0" w:after="6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5.02. </w:t>
      </w:r>
      <w:r>
        <w:rPr>
          <w:rFonts w:ascii="Times New Roman;serif" w:hAnsi="Times New Roman;serif"/>
          <w:b/>
          <w:color w:val="000000"/>
          <w:sz w:val="18"/>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Simeon Kohl Appointment as CEO, President and Director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4, 2026, the Board of Directors (the Board) of Health Catalyst, Inc. (the Company) appointed Simeon Kohl to succeed Ben Albert as the Company’s Chief Executive Officer, President, principal executive officer and principal operating officer and, upon the recommendation of the Nominating and Corporate Governance Committee of the Board (the Nominating Committee), as a member of the Board as a Class III director to fill the vacancy created by Mr. Albert’s resignation, in each case effective September 14, 2026. In connection with his appointment, Mr. Kohl is expected to enter into the Company’s standard form of indemnification agreement with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Kohl, age 59, most recently served as Chief Client Officer of Machinify, Inc., a healthcare technology company, from October 2025 until July 2026. From May 2023 until October 2025, Mr. Kohl served as Chief Executive Officer and a member of the board of directors of NASDAQ-listed Performant Healthcare, Inc. (Performant), a healthcare technology and services company acquired by Machinify in October 2025. Prior to serving as Chief Executive Officer of Performant, Mr. Kohl held various other leadership roles at Performant, including as President beginning in March 2022. We believe that Mr. Kohl is qualified to serve as a member of our Board based on his extensive executive leadership experience, and his knowledge of the healthcare technology industry.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Mr. Kohl’s appointment by the Board as Chief Executive Officer, President, principal executive officer and principal operating officer, the Company and Mr. Kohl entered into an offer letter, dated as of September 4, 2026 (the Kohl Offer Letter). Pursuant to the Kohl Offer Letter, Mr. Kohl’s salary will be $600,000 and he will be eligible for an annual bonus with a target amount equal to 100% of his base salary. Mr. Kohl will also participate in the Company’s Executive Severance Plan as a Tier 1 Executive, effective September 14,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also plans to grant Mr. Kohl 2,747,385 restricted stock units (RSUs), of which 915,975 RSUs will vest on September 4, 2027 and the remaining RSUs will vest in eight approximately equal quarterly installments. The RSUs will be granted pursuant to the Health Catalyst, Inc. 2026 Employment Inducement Incentive Plan discussed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Kohl Offer Letter is qualified in its entirety by reference to the full text of the Kohl Offer Letter, a copy of which is attached as Exhibit 10.1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Kohl and any person pursuant to which Mr. Kohl was appointed as Chief Executive Officer, President, principal executive officer, principal operating officer and director. Mr. Kohl is not party to and does not have a direct or indirect material interest in any transaction or proposed transaction in which the Company is or is to be a party for which disclosure would be required under Item 404(a) of Regulation S-K. There are no family relationships between Mr. Kohl and any of the Company’s directors or executive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Benjamin Albert’s Resignation from his Position as CEO, President and as a Member of the Board of Directors and Appointment as Chief Business Officer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Kohl’s appointment, on September 4, 2026, the Board accepted Mr. Albert’s resignation from his position as Chief Executive Officer, President, principal executive officer and principal operating officer and member of the Board, effective September 13, 2026. Mr. Albert’s resignation is not the result of any disagreement with the Company on any matter relating to the Company’s operations, policies or practices.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Albert’s resignation, the Board appointed Mr. Albert as the Company’s Chief Business Officer, effective September 14, 2026, and the Company and Mr. Albert entered into an offer letter, dated as of September 4, 2026 (the Albert Offer Letter). Pursuant to the Albert Offer Letter, Mr. Albert’s salary will be $415,000 and he will be eligible for an annual bonus for the fiscal year ending December 31, 2026 with a target amount equal to the sum of (i) 75% of Mr. Albert’s annual base salary, at the rate then in effect while Mr. Albert served as President and Chief Operating Officer of the Company, prorated based upon the number of days he was employed during the fiscal year ending December 31, 2026 as President and Chief Operating Officer, plus (ii) 100% of his annual base salary, at the rate then in effect while Mr. Albert served as Chief Executive Officer of the Company, prorated based upon the number of days Mr. Albert was employed during the fiscal year ending December 31, 2026 as Chief Executive Officer plus (iii) 60% of his annual base salary, prorated based upon the number of days Mr. Albert was employed during the fiscal year ending December 31, 2026 as Chief Business Officer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on January 1, 2027, Mr. Albert will be eligible to receive an annual bonus equal to 60% of his base salary. Mr. Albert will also continue to participate in the Company’s Executive Severance Plan as a Tier 2 Executive.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Albert Offer Letter is qualified in its entirety by reference to the full text of the Albert Offer Letter, a copy of which is attached as Exhibit 10.2 and is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Adoption of 2026 Employment Inducement Incentive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September 4, 2026, the Board adopted the Health Catalyst, Inc. 2026 Employment Inducement Incentive Plan (the Inducement Plan) and reserved 2,747,385 shares of the Company’s common stock for issuance pursuant to equity awards granted thereunder.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Inducement Plan was adopted without stockholder approval pursuant to Rule 5635(c)(4) of the rules and regulations of the Nasdaq Stock Market LLC (the Nasdaq Rules). The Inducement Plan provides for the grant of equity-based awards, including stock options, stock appreciation rights, restricted stock units, restricted stock awards, unrestricted stock awards, cash based awards, and dividend equivalent rights, to eligible employees of the Company, and its terms are substantially similar to the Company’s 2019 Stock Option and Incentive Plan, including with respect to the treatment of equity awards upon a “sale event” as defined under the Inducement Plan, but with such other terms and conditions intended to comply with the inducement award exceptions of the Nasdaq Rules or to comply with the acquisition and merger exception of the Nasdaq Rules.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Nasdaq Rules, awards under the Inducement Plan may only be made to individuals not previously employed or non-employee directors of the Company (or following such individuals’ bona fide period of non-employment with the Company), as an inducement material to the individuals’ entry into employment with the Company or being rehired following a bona fide period of interruption of employment by the Company, or, to the extent permitted by the Nasdaq Rules, in connection with a merger or acquisition.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Inducement Plan does not purport to be complete and is qualified in its entirety by the full text of the Inducement Plan, a copy of which is attached as Exhibit 10.5 and is incorporated herein by reference.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copy of the Company’s press release announcing the officer and director transitions is attached hereto as Exhibit 99.1 and is incorporated by 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Item 7.01 of this Form 8-K, including the information contained in Exhibit 99.1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including statements regarding the officer and director transitions and the Board’s plan to grant Mr. Kohl RSUs in connection with his appointments. Any forward-looking statements contained in this Current Report on Form 8-K are based upon the Company’s historical performance and its current plans, estimates, and expectations, and are not a representation that such plans, estimates, or expectations will be achieved. These forward-looking statements represent the Company’s expectations as of the date of this Current Report on Form 8-K, and involve risks, uncertainties, and assumptions. The actual results may differ materially from those anticipated in the forward-looking statements as a result of numerous factors, many of which are beyond the control of the Company, including the risks and uncertainties disclosed in the Company’s reports filed from time to time with the Securities and Exchange Commission, including its most recent Form 10</w:t>
        <w:noBreakHyphen/>
        <w:t>K and any subsequent filings on Forms 10-Q or 8-K, available at www.sec.gov. Except as required by law, the Company does not intend to update any forward-looking statement contained in this Current Report on Form 8-K to reflect events or circumstances arising after the date hereof.</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(d) </w:t>
      </w:r>
      <w:r>
        <w:rPr>
          <w:rFonts w:ascii="Times New Roman;serif" w:hAnsi="Times New Roman;serif"/>
          <w:b w:val="false"/>
          <w:color w:val="000000"/>
          <w:sz w:val="18"/>
          <w:u w:val="single"/>
        </w:rPr>
        <w:t>Exhibits.</w:t>
      </w:r>
    </w:p>
    <w:tbl>
      <w:tblPr>
        <w:tblW w:w="10205" w:type="dxa"/>
        <w:jc w:val="left"/>
        <w:tblInd w:w="0" w:type="dxa"/>
        <w:tblLayout w:type="fixed"/>
        <w:tblCellMar>
          <w:top w:w="28" w:type="dxa"/>
          <w:left w:w="28" w:type="dxa"/>
          <w:bottom w:w="28" w:type="dxa"/>
          <w:right w:w="28" w:type="dxa"/>
        </w:tblCellMar>
      </w:tblPr>
      <w:tblGrid>
        <w:gridCol w:w="315"/>
        <w:gridCol w:w="278"/>
        <w:gridCol w:w="279"/>
        <w:gridCol w:w="109"/>
        <w:gridCol w:w="109"/>
        <w:gridCol w:w="109"/>
        <w:gridCol w:w="2700"/>
        <w:gridCol w:w="2605"/>
        <w:gridCol w:w="3701"/>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fferletterdate.htm">
              <w:r>
                <w:rPr>
                  <w:rStyle w:val="InternetLink"/>
                  <w:rFonts w:ascii="Times New Roman;serif" w:hAnsi="Times New Roman;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fferletterdate.htm">
              <w:r>
                <w:rPr>
                  <w:rStyle w:val="InternetLink"/>
                  <w:rFonts w:ascii="Times New Roman;serif" w:hAnsi="Times New Roman;serif"/>
                  <w:b w:val="false"/>
                  <w:color w:val="0000FF"/>
                  <w:sz w:val="18"/>
                  <w:u w:val="single"/>
                </w:rPr>
                <w:t>Offer Letter, dated September 4, 2026, between the Company and Simeon Kohl</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offerletterdate.htm">
              <w:r>
                <w:rPr>
                  <w:rStyle w:val="InternetLink"/>
                  <w:rFonts w:ascii="Times New Roman;serif" w:hAnsi="Times New Roman;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offerletterdate.htm">
              <w:r>
                <w:rPr>
                  <w:rStyle w:val="InternetLink"/>
                  <w:rFonts w:ascii="Times New Roman;serif" w:hAnsi="Times New Roman;serif"/>
                  <w:b w:val="false"/>
                  <w:color w:val="0000FF"/>
                  <w:sz w:val="18"/>
                  <w:u w:val="single"/>
                </w:rPr>
                <w:t>Offer Letter, dated September 4, 2026, between the Company and Benjamin Albert</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18"/>
                  <w:u w:val="single"/>
                </w:rPr>
                <w:t>10.</w:t>
              </w:r>
            </w:hyperlink>
            <w:hyperlink r:id="rId3">
              <w:r>
                <w:rPr>
                  <w:rStyle w:val="InternetLink"/>
                  <w:rFonts w:ascii="Times New Roman;serif" w:hAnsi="Times New Roman;serif"/>
                  <w:b w:val="false"/>
                  <w:color w:val="000080"/>
                  <w:sz w:val="18"/>
                  <w:u w:val="single"/>
                </w:rPr>
                <w:t>3</w:t>
              </w:r>
            </w:hyperlink>
            <w:hyperlink r:id="rId4">
              <w:r>
                <w:rPr>
                  <w:rStyle w:val="InternetLink"/>
                  <w:rFonts w:ascii="Times New Roman;serif" w:hAnsi="Times New Roman;serif"/>
                  <w:b w:val="false"/>
                  <w:color w:val="000080"/>
                  <w:sz w:val="18"/>
                  <w:u w:val="single"/>
                </w:rPr>
                <w:t>#*</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Form of Indemnification Agreement, between Health Catalyst, Inc. and each of its executive officers and directors</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Executive Severance Plan</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2026employmenti.htm">
              <w:r>
                <w:rPr>
                  <w:rStyle w:val="InternetLink"/>
                  <w:rFonts w:ascii="Times New Roman;serif" w:hAnsi="Times New Roman;serif"/>
                  <w:b w:val="false"/>
                  <w:color w:val="0000FF"/>
                  <w:sz w:val="18"/>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2026employmenti.htm">
              <w:r>
                <w:rPr>
                  <w:rStyle w:val="InternetLink"/>
                  <w:rFonts w:ascii="Times New Roman;serif" w:hAnsi="Times New Roman;serif"/>
                  <w:b w:val="false"/>
                  <w:color w:val="0000FF"/>
                  <w:sz w:val="18"/>
                  <w:u w:val="single"/>
                </w:rPr>
                <w:t>Health Catalyst, Inc. 2026 Employment Inducement Incentive Plan and forms of restricted stock unit award agreement, nonqualified stock option agreement and restricted stock award agreement thereunder</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for.htm">
              <w:r>
                <w:rPr>
                  <w:rStyle w:val="InternetLink"/>
                  <w:rFonts w:ascii="Times New Roman;serif" w:hAnsi="Times New Roman;serif"/>
                  <w:b w:val="false"/>
                  <w:color w:val="000080"/>
                  <w:sz w:val="18"/>
                  <w:u w:val="single"/>
                </w:rPr>
                <w:t xml:space="preserve">Press Release </w:t>
              </w:r>
            </w:hyperlink>
            <w:hyperlink w:anchor="exhibit991-pressreleasefor.htm">
              <w:r>
                <w:rPr>
                  <w:rStyle w:val="InternetLink"/>
                  <w:rFonts w:ascii="Times New Roman;serif" w:hAnsi="Times New Roman;serif"/>
                  <w:b w:val="false"/>
                  <w:color w:val="000080"/>
                  <w:sz w:val="18"/>
                  <w:u w:val="single"/>
                </w:rPr>
                <w:t>ti</w:t>
              </w:r>
            </w:hyperlink>
            <w:hyperlink w:anchor="exhibit991-pressreleasefor.htm">
              <w:r>
                <w:rPr>
                  <w:rStyle w:val="InternetLink"/>
                  <w:rFonts w:ascii="Times New Roman;serif" w:hAnsi="Times New Roman;serif"/>
                  <w:b w:val="false"/>
                  <w:color w:val="000080"/>
                  <w:sz w:val="18"/>
                  <w:u w:val="single"/>
                </w:rPr>
                <w:t xml:space="preserve">tled </w:t>
              </w:r>
            </w:hyperlink>
            <w:hyperlink w:anchor="exhibit991-pressreleasefor.htm">
              <w:r>
                <w:rPr>
                  <w:rStyle w:val="InternetLink"/>
                  <w:rFonts w:ascii="Times New Roman;serif" w:hAnsi="Times New Roman;serif"/>
                  <w:b w:val="false"/>
                  <w:color w:val="000080"/>
                  <w:sz w:val="18"/>
                  <w:u w:val="single"/>
                </w:rPr>
                <w:t>“</w:t>
              </w:r>
            </w:hyperlink>
            <w:hyperlink w:anchor="exhibit991-pressreleasefor.htm">
              <w:r>
                <w:rPr>
                  <w:rStyle w:val="InternetLink"/>
                  <w:rFonts w:ascii="Times New Roman;serif" w:hAnsi="Times New Roman;serif"/>
                  <w:b w:val="false"/>
                  <w:color w:val="000080"/>
                  <w:sz w:val="18"/>
                  <w:u w:val="single"/>
                </w:rPr>
                <w:t>Health Catalyst Appoints Simeon</w:t>
              </w:r>
            </w:hyperlink>
            <w:hyperlink w:anchor="exhibit991-pressreleasefor.htm">
              <w:r>
                <w:rPr>
                  <w:rStyle w:val="InternetLink"/>
                  <w:rFonts w:ascii="Times New Roman;serif" w:hAnsi="Times New Roman;serif"/>
                  <w:b w:val="false"/>
                  <w:color w:val="000080"/>
                  <w:sz w:val="18"/>
                  <w:u w:val="single"/>
                </w:rPr>
                <w:t xml:space="preserve"> Kohl as Chief Executive Officer</w:t>
              </w:r>
            </w:hyperlink>
            <w:hyperlink w:anchor="exhibit991-pressreleasefor.htm">
              <w:r>
                <w:rPr>
                  <w:rStyle w:val="InternetLink"/>
                  <w:rFonts w:ascii="Times New Roman;serif" w:hAnsi="Times New Roman;serif"/>
                  <w:b w:val="false"/>
                  <w:color w:val="000080"/>
                  <w:sz w:val="18"/>
                  <w:u w:val="single"/>
                </w:rPr>
                <w:t>”</w:t>
              </w:r>
            </w:hyperlink>
            <w:hyperlink w:anchor="exhibit991-pressreleasefor.htm">
              <w:r>
                <w:rPr>
                  <w:rStyle w:val="InternetLink"/>
                  <w:rFonts w:ascii="Times New Roman;serif" w:hAnsi="Times New Roman;serif"/>
                  <w:b w:val="false"/>
                  <w:color w:val="000080"/>
                  <w:sz w:val="18"/>
                  <w:u w:val="single"/>
                </w:rPr>
                <w:t xml:space="preserve"> dated September 8, 2026.</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Indicates management contract or compensatory plan.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10.18 to the Form S-1 filed June 27, 2019.</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Incorporated by reference to Exhibit 10.16 to the Form S-1/A filed July 12, 2019.</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5082"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751"/>
        <w:gridCol w:w="751"/>
        <w:gridCol w:w="106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CATALYST,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Alger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Alger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160"/>
        <w:jc w:val="left"/>
        <w:rPr/>
      </w:pPr>
      <w:r>
        <w:rPr/>
        <w:drawing>
          <wp:inline distT="0" distB="0" distL="0" distR="0">
            <wp:extent cx="2371725" cy="4191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8"/>
                    <a:stretch>
                      <a:fillRect/>
                    </a:stretch>
                  </pic:blipFill>
                  <pic:spPr bwMode="auto">
                    <a:xfrm>
                      <a:off x="0" y="0"/>
                      <a:ext cx="2371725" cy="419100"/>
                    </a:xfrm>
                    <a:prstGeom prst="rect">
                      <a:avLst/>
                    </a:prstGeom>
                  </pic:spPr>
                </pic:pic>
              </a:graphicData>
            </a:graphic>
          </wp:inline>
        </w:drawing>
      </w:r>
    </w:p>
    <w:p>
      <w:pPr>
        <w:pStyle w:val="TextBody"/>
        <w:bidi w:val="0"/>
        <w:spacing w:lineRule="auto" w:line="321" w:before="0" w:after="160"/>
        <w:jc w:val="left"/>
        <w:rPr>
          <w:rFonts w:ascii="sans-serif" w:hAnsi="sans-serif"/>
          <w:b w:val="false"/>
          <w:color w:val="000000"/>
          <w:sz w:val="24"/>
        </w:rPr>
      </w:pPr>
      <w:r>
        <w:rPr>
          <w:rFonts w:ascii="sans-serif" w:hAnsi="sans-serif"/>
          <w:b w:val="false"/>
          <w:color w:val="000000"/>
          <w:sz w:val="24"/>
        </w:rPr>
        <w:t>September 4, 2026</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Dear Simeon,</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We are pleased to extend to you this offer of employment with Health Catalyst (“</w:t>
      </w:r>
      <w:r>
        <w:rPr>
          <w:rFonts w:ascii="sans-serif" w:hAnsi="sans-serif"/>
          <w:b w:val="false"/>
          <w:color w:val="000000"/>
          <w:sz w:val="24"/>
          <w:u w:val="single"/>
        </w:rPr>
        <w:t>HC</w:t>
      </w:r>
      <w:r>
        <w:rPr>
          <w:color w:val="000000"/>
        </w:rPr>
        <w:t xml:space="preserve">” </w:t>
      </w:r>
      <w:r>
        <w:rPr>
          <w:rFonts w:ascii="sans-serif" w:hAnsi="sans-serif"/>
          <w:b w:val="false"/>
          <w:color w:val="000000"/>
          <w:sz w:val="24"/>
        </w:rPr>
        <w:t>or the “</w:t>
      </w:r>
      <w:r>
        <w:rPr>
          <w:rFonts w:ascii="sans-serif" w:hAnsi="sans-serif"/>
          <w:b w:val="false"/>
          <w:color w:val="000000"/>
          <w:sz w:val="24"/>
          <w:u w:val="single"/>
        </w:rPr>
        <w:t>Company</w:t>
      </w:r>
      <w:r>
        <w:rPr>
          <w:color w:val="000000"/>
        </w:rPr>
        <w:t>”</w:t>
      </w:r>
      <w:r>
        <w:rPr>
          <w:rFonts w:ascii="sans-serif" w:hAnsi="sans-serif"/>
          <w:b w:val="false"/>
          <w:color w:val="000000"/>
          <w:sz w:val="24"/>
        </w:rPr>
        <w:t xml:space="preserve">). We are confident that your skills, experience and hard work will contribute meaningfully to the success of the Company. This offer is subject to the terms and conditions set forth in this offer. This letter does not create a contract of employment for any specified term, and your employment with HC is at will. The compensation, benefits, equity and severance provisions expressly set forth in this letter are binding and will be governed by their respective terms. </w:t>
      </w:r>
    </w:p>
    <w:p>
      <w:pPr>
        <w:pStyle w:val="TextBody"/>
        <w:bidi w:val="0"/>
        <w:spacing w:before="0" w:after="0"/>
        <w:jc w:val="both"/>
        <w:rPr/>
      </w:pPr>
      <w:r>
        <w:rPr/>
      </w:r>
    </w:p>
    <w:tbl>
      <w:tblPr>
        <w:tblW w:w="7646" w:type="dxa"/>
        <w:jc w:val="left"/>
        <w:tblInd w:w="0" w:type="dxa"/>
        <w:tblLayout w:type="fixed"/>
        <w:tblCellMar>
          <w:top w:w="28" w:type="dxa"/>
          <w:left w:w="28" w:type="dxa"/>
          <w:bottom w:w="28" w:type="dxa"/>
          <w:right w:w="28" w:type="dxa"/>
        </w:tblCellMar>
      </w:tblPr>
      <w:tblGrid>
        <w:gridCol w:w="956"/>
        <w:gridCol w:w="837"/>
        <w:gridCol w:w="846"/>
        <w:gridCol w:w="109"/>
        <w:gridCol w:w="109"/>
        <w:gridCol w:w="109"/>
        <w:gridCol w:w="1369"/>
        <w:gridCol w:w="1369"/>
        <w:gridCol w:w="1942"/>
      </w:tblGrid>
      <w:tr>
        <w:trPr/>
        <w:tc>
          <w:tcPr>
            <w:tcW w:w="9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Position: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Chief Executive Officer and President </w:t>
            </w:r>
          </w:p>
        </w:tc>
      </w:tr>
      <w:tr>
        <w:trPr/>
        <w:tc>
          <w:tcPr>
            <w:tcW w:w="26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Division/Department: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General &amp; Administrative</w:t>
            </w:r>
          </w:p>
        </w:tc>
      </w:tr>
      <w:tr>
        <w:trPr/>
        <w:tc>
          <w:tcPr>
            <w:tcW w:w="26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$600,000</w:t>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September 14, 2026</w:t>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Remote</w:t>
            </w:r>
          </w:p>
        </w:tc>
      </w:tr>
    </w:tbl>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Regular Headquarter hours: 8:00 AM – 5:00 PM (Mountain Time), Monday through Friday.</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In addition to the base salary, this full-time employment offer includes the following benefit programs:</w:t>
      </w:r>
    </w:p>
    <w:p>
      <w:pPr>
        <w:pStyle w:val="TextBody"/>
        <w:bidi w:val="0"/>
        <w:spacing w:before="0" w:after="0"/>
        <w:jc w:val="left"/>
        <w:rPr/>
      </w:pPr>
      <w:r>
        <w:rPr/>
      </w:r>
    </w:p>
    <w:p>
      <w:pPr>
        <w:pStyle w:val="TextBody"/>
        <w:bidi w:val="0"/>
        <w:spacing w:lineRule="auto" w:line="259" w:before="0" w:after="0"/>
        <w:jc w:val="both"/>
        <w:rPr>
          <w:rFonts w:ascii="sans-serif" w:hAnsi="sans-serif"/>
          <w:b/>
          <w:color w:val="000000"/>
          <w:sz w:val="24"/>
        </w:rPr>
      </w:pPr>
      <w:r>
        <w:rPr>
          <w:rFonts w:ascii="sans-serif" w:hAnsi="sans-serif"/>
          <w:b/>
          <w:color w:val="000000"/>
          <w:sz w:val="24"/>
        </w:rPr>
        <w:t xml:space="preserve">Bonus </w:t>
      </w:r>
    </w:p>
    <w:p>
      <w:pPr>
        <w:pStyle w:val="TextBody"/>
        <w:bidi w:val="0"/>
        <w:spacing w:lineRule="auto" w:line="259" w:before="0" w:after="0"/>
        <w:jc w:val="both"/>
        <w:rPr/>
      </w:pPr>
      <w:r>
        <w:rPr>
          <w:rFonts w:ascii="sans-serif" w:hAnsi="sans-serif"/>
          <w:b w:val="false"/>
          <w:color w:val="000000"/>
          <w:sz w:val="24"/>
        </w:rPr>
        <w:t>You will be eligible to receive a bonus equal to 100% of your annual base salary subject to the Company’s board of directors (the “</w:t>
      </w:r>
      <w:r>
        <w:rPr>
          <w:rFonts w:ascii="sans-serif" w:hAnsi="sans-serif"/>
          <w:b w:val="false"/>
          <w:color w:val="000000"/>
          <w:sz w:val="24"/>
          <w:u w:val="single"/>
        </w:rPr>
        <w:t>Board</w:t>
      </w:r>
      <w:r>
        <w:rPr>
          <w:color w:val="000000"/>
        </w:rPr>
        <w:t>”</w:t>
      </w:r>
      <w:r>
        <w:rPr>
          <w:rFonts w:ascii="sans-serif" w:hAnsi="sans-serif"/>
          <w:b w:val="false"/>
          <w:color w:val="000000"/>
          <w:sz w:val="24"/>
        </w:rPr>
        <w:t>) measuring and approving achievement of Company performance initiatives, which may be amended by the Board from time to time. This bonus will be prorated based upon the number of days you are employed during the fiscal year. The bonus for any fiscal year will be paid in a lump sum after approval by the Board and after HC’s books for that period have been closed, but no later than March 15 of the following calendar year. The bonus, to the extent earned based on actual achievement of the applicable Company performance initiatives, will be paid if you are employed on the last day of the applicable fiscal year or if your employment is terminated by HC without Cause or by you for Good Reason before payment, with Cause and Good Reason as defined in the Severance Plan. In the event of such termination, the bonus will remain subject to the proration described above.</w:t>
      </w:r>
      <w:r>
        <w:rPr>
          <w:color w:val="212121"/>
        </w:rPr>
        <w:t xml:space="preserve">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Restricted Stock Unit Grant</w:t>
      </w:r>
    </w:p>
    <w:p>
      <w:pPr>
        <w:pStyle w:val="TextBody"/>
        <w:bidi w:val="0"/>
        <w:spacing w:lineRule="auto" w:line="268" w:before="0" w:after="0"/>
        <w:jc w:val="both"/>
        <w:rPr/>
      </w:pPr>
      <w:r>
        <w:rPr>
          <w:rFonts w:ascii="sans-serif" w:hAnsi="sans-serif"/>
          <w:b w:val="false"/>
          <w:color w:val="000000"/>
          <w:sz w:val="24"/>
        </w:rPr>
        <w:t>Subject to approval by the Board, you will receive a grant of 2,747,385 of the Company’s Restricted Stock Units (“</w:t>
      </w:r>
      <w:r>
        <w:rPr>
          <w:rFonts w:ascii="sans-serif" w:hAnsi="sans-serif"/>
          <w:b w:val="false"/>
          <w:color w:val="000000"/>
          <w:sz w:val="24"/>
          <w:u w:val="single"/>
        </w:rPr>
        <w:t>RSUs</w:t>
      </w:r>
      <w:r>
        <w:rPr>
          <w:color w:val="000000"/>
        </w:rPr>
        <w:t>”</w:t>
      </w:r>
      <w:r>
        <w:rPr>
          <w:rFonts w:ascii="sans-serif" w:hAnsi="sans-serif"/>
          <w:b w:val="false"/>
          <w:color w:val="000000"/>
          <w:sz w:val="24"/>
        </w:rPr>
        <w:t>) that will vest as follows: (i) approximately 33.33% of these RSUs will vest on the one-year anniversary of your hire date and (ii) thereafter, the remaining 66.67% of these RSUs will vest in 8 approximately equal quarterly installments. This grant is subject to the terms and conditions applicable to RSUs granted under the HC’s 2019 Stock Option and Incentive Plan (the “</w:t>
      </w:r>
      <w:r>
        <w:rPr>
          <w:rFonts w:ascii="sans-serif" w:hAnsi="sans-serif"/>
          <w:b w:val="false"/>
          <w:color w:val="000000"/>
          <w:sz w:val="24"/>
          <w:u w:val="single"/>
        </w:rPr>
        <w:t>Plan</w:t>
      </w:r>
      <w:r>
        <w:rPr>
          <w:color w:val="000000"/>
        </w:rPr>
        <w:t>”</w:t>
      </w:r>
      <w:r>
        <w:rPr>
          <w:rFonts w:ascii="sans-serif" w:hAnsi="sans-serif"/>
          <w:b w:val="false"/>
          <w:color w:val="000000"/>
          <w:sz w:val="24"/>
        </w:rPr>
        <w:t>) as described in the Plan and the applicable RSU award agreement.</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Annual Long-Term Incentive</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Beginning with the Company's next regular annual equity-grant cycle following the Start Date, you will be eligible to receive an annual long-term incentive award with a target grant-date value commensurate with the market data and peer-group guidance provided to the Compensation Committee for the Chief Executive Officer position. Such award will be determined by the Board or Compensation Committee in their sole discretion and may consist of a mix of time-based and performance-based equity awards, subject to the Plan and applicable award agreements.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Insurance Plans</w:t>
      </w:r>
    </w:p>
    <w:p>
      <w:pPr>
        <w:pStyle w:val="TextBody"/>
        <w:bidi w:val="0"/>
        <w:spacing w:lineRule="auto" w:line="292" w:before="0" w:after="0"/>
        <w:jc w:val="both"/>
        <w:rPr>
          <w:rFonts w:ascii="sans-serif" w:hAnsi="sans-serif"/>
          <w:b w:val="false"/>
          <w:color w:val="000000"/>
          <w:sz w:val="24"/>
        </w:rPr>
      </w:pPr>
      <w:r>
        <w:rPr>
          <w:rFonts w:ascii="sans-serif" w:hAnsi="sans-serif"/>
          <w:b w:val="false"/>
          <w:color w:val="000000"/>
          <w:sz w:val="24"/>
        </w:rPr>
        <w:t xml:space="preserve">Eligibility begins on the first day of your employment with Health Catalyst. </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4"/>
        </w:rPr>
        <w:t xml:space="preserve">Medical, Vision, and Dental Insurance: </w:t>
      </w:r>
      <w:r>
        <w:rPr>
          <w:rFonts w:ascii="sans-serif" w:hAnsi="sans-serif"/>
          <w:b w:val="false"/>
          <w:color w:val="000000"/>
          <w:sz w:val="24"/>
        </w:rPr>
        <w:t>HC offers both a Traditional and HSA-High Deductible Health Plan options. HC also provides an employer contribution to those enrolled in the HSA-HDHP.</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4"/>
        </w:rPr>
        <w:t>Basic Life, Accidental Death and Dismemberment, and Disability Insurance:</w:t>
      </w:r>
      <w:r>
        <w:rPr>
          <w:color w:val="000000"/>
        </w:rPr>
        <w:t xml:space="preserve"> </w:t>
      </w:r>
      <w:r>
        <w:rPr>
          <w:rFonts w:ascii="sans-serif" w:hAnsi="sans-serif"/>
          <w:b w:val="false"/>
          <w:color w:val="000000"/>
          <w:sz w:val="24"/>
        </w:rPr>
        <w:t>These insurance programs are paid 100% by HC. Additional life insurance may be purchased at the expense of the team member.</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4"/>
        </w:rPr>
        <w:t xml:space="preserve">Flexible Spending Account: </w:t>
      </w:r>
      <w:r>
        <w:rPr>
          <w:rFonts w:ascii="sans-serif" w:hAnsi="sans-serif"/>
          <w:b w:val="false"/>
          <w:color w:val="000000"/>
          <w:sz w:val="24"/>
        </w:rPr>
        <w:t>HC offers FSAs for medical, limited purpose, and dependent expense accounts. FSAs allow you to contribute pre-tax dollars which can be used to pay for qualifying expenses not otherwise covered under normal health-related insurance plans.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Paid Time Off</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4"/>
        </w:rPr>
        <w:t>Holiday Pay:</w:t>
      </w:r>
      <w:r>
        <w:rPr>
          <w:color w:val="000000"/>
        </w:rPr>
        <w:t xml:space="preserve"> </w:t>
      </w:r>
      <w:r>
        <w:rPr>
          <w:rFonts w:ascii="sans-serif" w:hAnsi="sans-serif"/>
          <w:b w:val="false"/>
          <w:color w:val="000000"/>
          <w:sz w:val="24"/>
        </w:rPr>
        <w:t xml:space="preserve">Health Catalyst offers its team members a very generous holiday pay benefit. Specific details about Company holiday schedule will be communicated in new hire orientation. </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Retirement Plan</w:t>
      </w:r>
      <w:r>
        <w:rPr>
          <w:color w:val="000000"/>
        </w:rPr>
        <w:t xml:space="preserve"> </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Health Catalyst offers a 401K Retirement Plan with eligibility beginning 90-days after initial employment. The plan allows for employer contributions. The HC 401K Plan is an auto-enrollment plan with a 6% default team member contribution rate.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Executive Severance Plan</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You will be designated a Tier 1 Executive under the Severance Plan, subject to the terms therein. The Company has provided you with the proposed participation agreement under the Severance Plan, which you will execute on or before the Start Date.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All benefits are subject to change. Additional details about each benefit are available in the Team Member Handbook or by speaking directly with the Human Resource office.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Payroll</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For salaried team members, pay checks are issued on a semi-monthly basis with a total of 24 pay periods per calendar year.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Indemnification and D&amp;O Insurance</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On or before the Start Date, the Company will enter into its standard indemnification agreement with you on terms no less favorable than those provided to any other director or executive officer and will maintain directors’ and officers’ liability insurance covering you on terms no less favorable than those applicable to other directors and executive officers.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EICA</w:t>
      </w:r>
    </w:p>
    <w:p>
      <w:pPr>
        <w:pStyle w:val="TextBody"/>
        <w:bidi w:val="0"/>
        <w:spacing w:lineRule="auto" w:line="268"/>
        <w:jc w:val="both"/>
        <w:rPr/>
      </w:pPr>
      <w:r>
        <w:rPr>
          <w:rFonts w:ascii="sans-serif" w:hAnsi="sans-serif"/>
          <w:b w:val="false"/>
          <w:color w:val="000000"/>
          <w:sz w:val="24"/>
        </w:rPr>
        <w:t>With acceptance of this employment offer, you will be asked to sign this Employment Offer Letter and Agreement and an Employee Invention and Confidentiality Agreement (“</w:t>
      </w:r>
      <w:r>
        <w:rPr>
          <w:rFonts w:ascii="sans-serif" w:hAnsi="sans-serif"/>
          <w:b w:val="false"/>
          <w:color w:val="000000"/>
          <w:sz w:val="24"/>
          <w:u w:val="single"/>
        </w:rPr>
        <w:t>EICA</w:t>
      </w:r>
      <w:r>
        <w:rPr>
          <w:color w:val="000000"/>
        </w:rPr>
        <w:t>”</w:t>
      </w:r>
      <w:r>
        <w:rPr>
          <w:rFonts w:ascii="sans-serif" w:hAnsi="sans-serif"/>
          <w:b w:val="false"/>
          <w:color w:val="000000"/>
          <w:sz w:val="24"/>
        </w:rPr>
        <w:t>) and agree to the on-going compliance with such agreements as a condition of employment, to the extent you have not already signed the EICA. These agreements contain “employment at will”, “non-solicitation” and “non-</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disclosure” provisions. A copy of the EICA is available for your review upon request in advance of accepting employment. Otherwise, a personalized copy of the EICA will be provided to you prior to your start date.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At Will Employment</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Employment with HC is “at-will.” This means that it is not for any specified period of time and can be terminated by you or by HC at any time, with or without advance notice or additional payment, and for any or no particular reason or cause. It also means that your job duties, title and responsibility and reporting level, compensation and benefits, as well as HC’s personnel policies and procedures, may be changed at any time, with or without notice, in the sole and absolute discretion of HC. Notwithstanding the foregoing, nothing in this At-Will Employment provision will limit, modify or supersede the Company's obligations to you under this offer letter, the Severance Plan, the participation agreement, or any applicable equity award agreement, including your rights upon a termination without Cause or resignation for Good Reason as set forth in the Severance Plan.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The “at-will” nature of your employment shall remain unchanged during your tenure as a team member and may not be changed, except in an express writing signed by you and by a duly authorized officer of HC.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If you accept this offer, this letter and the written agreements referenced in this letter shall constitute the complete agreement between you and HC with respect to the initial terms and conditions of your employment. Any representations not contained in this letter, or contrary to those contained in this letter (whether written or oral), that may have been made to you are expressly cancelled and superseded by this offer. Except as otherwise specified in this letter, the terms and conditions of your employment pursuant to this letter may not be changed, except by a writing signed by you and a duly authorized officer of HC. For the avoidance of doubt, except as expressly provided in this offer letter, this offer letter does not supersede the Severance Plan, the participation agreement, any applicable equity award agreement, the indemnification agreement, or any other agreement expressly referenced herein.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HC reserves the right to provide you with additional policies in addition to any existing written policies that would apply to the terms of your employment.</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Should your position, compensation, or benefits change over time the remaining sections of this agreement will still be valid. If any provision in this offer or compliance by you or HC with any provision of this offer constitutes a violation of any law, or is or becomes unenforceable or void, it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offer, which provisions and terms will remain in effect.</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This offer is valid until September 5, 2026 and requires a written response by 5:00pm MT on this date. You should keep a copy of this letter for your own records. If you have any questions regarding this offer, please contact Matt Arens as chair of the Nominating and Corporate Governance Committee.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We look forward to you joining the Health Catalyst team.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Sincerely,</w:t>
      </w:r>
    </w:p>
    <w:p>
      <w:pPr>
        <w:pStyle w:val="TextBody"/>
        <w:bidi w:val="0"/>
        <w:spacing w:before="0" w:after="0"/>
        <w:jc w:val="left"/>
        <w:rPr/>
      </w:pPr>
      <w:r>
        <w:rPr/>
      </w:r>
    </w:p>
    <w:p>
      <w:pPr>
        <w:pStyle w:val="TextBody"/>
        <w:bidi w:val="0"/>
        <w:spacing w:before="0" w:after="0"/>
        <w:jc w:val="both"/>
        <w:rPr/>
      </w:pPr>
      <w:r>
        <w:rPr/>
      </w:r>
    </w:p>
    <w:tbl>
      <w:tblPr>
        <w:tblW w:w="8125" w:type="dxa"/>
        <w:jc w:val="left"/>
        <w:tblInd w:w="0" w:type="dxa"/>
        <w:tblLayout w:type="fixed"/>
        <w:tblCellMar>
          <w:top w:w="28" w:type="dxa"/>
          <w:left w:w="28" w:type="dxa"/>
          <w:bottom w:w="28" w:type="dxa"/>
          <w:right w:w="28" w:type="dxa"/>
        </w:tblCellMar>
      </w:tblPr>
      <w:tblGrid>
        <w:gridCol w:w="1405"/>
        <w:gridCol w:w="1237"/>
        <w:gridCol w:w="1242"/>
        <w:gridCol w:w="109"/>
        <w:gridCol w:w="109"/>
        <w:gridCol w:w="109"/>
        <w:gridCol w:w="1144"/>
        <w:gridCol w:w="1144"/>
        <w:gridCol w:w="162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Justin Spencer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Matt Arens</w:t>
            </w:r>
          </w:p>
        </w:tc>
      </w:tr>
      <w:tr>
        <w:trPr/>
        <w:tc>
          <w:tcPr>
            <w:tcW w:w="388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Board Member, Health Catalyst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Board Member, Health Catalyst</w:t>
            </w:r>
          </w:p>
        </w:tc>
      </w:tr>
      <w:tr>
        <w:trPr/>
        <w:tc>
          <w:tcPr>
            <w:tcW w:w="3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160"/>
        <w:jc w:val="left"/>
        <w:rPr/>
      </w:pPr>
      <w:r>
        <w:rPr/>
        <w:drawing>
          <wp:inline distT="0" distB="0" distL="0" distR="0">
            <wp:extent cx="2371725" cy="4191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9"/>
                    <a:stretch>
                      <a:fillRect/>
                    </a:stretch>
                  </pic:blipFill>
                  <pic:spPr bwMode="auto">
                    <a:xfrm>
                      <a:off x="0" y="0"/>
                      <a:ext cx="2371725" cy="419100"/>
                    </a:xfrm>
                    <a:prstGeom prst="rect">
                      <a:avLst/>
                    </a:prstGeom>
                  </pic:spPr>
                </pic:pic>
              </a:graphicData>
            </a:graphic>
          </wp:inline>
        </w:drawing>
      </w:r>
    </w:p>
    <w:p>
      <w:pPr>
        <w:pStyle w:val="TextBody"/>
        <w:bidi w:val="0"/>
        <w:spacing w:lineRule="auto" w:line="321" w:before="0" w:after="160"/>
        <w:jc w:val="left"/>
        <w:rPr>
          <w:rFonts w:ascii="sans-serif" w:hAnsi="sans-serif"/>
          <w:b w:val="false"/>
          <w:color w:val="000000"/>
          <w:sz w:val="22"/>
        </w:rPr>
      </w:pPr>
      <w:r>
        <w:rPr>
          <w:rFonts w:ascii="sans-serif" w:hAnsi="sans-serif"/>
          <w:b w:val="false"/>
          <w:color w:val="000000"/>
          <w:sz w:val="22"/>
        </w:rPr>
        <w:t>September 4, 2026</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Dear Ben,</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We are pleased to extend to you this offer of continuing employment in a new role with Health Catalyst (“HC” or the “Company”). We are confident that your skills, experience and hard work will contribute meaningfully to the success of the Company. This offer is subject to the terms and conditions set forth in this offer. This letter does not represent a contract or agreement for employment; and employment with HC is at will.</w:t>
      </w:r>
    </w:p>
    <w:p>
      <w:pPr>
        <w:pStyle w:val="TextBody"/>
        <w:bidi w:val="0"/>
        <w:spacing w:before="0" w:after="0"/>
        <w:jc w:val="both"/>
        <w:rPr/>
      </w:pPr>
      <w:r>
        <w:rPr/>
      </w:r>
    </w:p>
    <w:tbl>
      <w:tblPr>
        <w:tblW w:w="6115" w:type="dxa"/>
        <w:jc w:val="left"/>
        <w:tblInd w:w="0" w:type="dxa"/>
        <w:tblLayout w:type="fixed"/>
        <w:tblCellMar>
          <w:top w:w="28" w:type="dxa"/>
          <w:left w:w="28" w:type="dxa"/>
          <w:bottom w:w="28" w:type="dxa"/>
          <w:right w:w="28" w:type="dxa"/>
        </w:tblCellMar>
      </w:tblPr>
      <w:tblGrid>
        <w:gridCol w:w="956"/>
        <w:gridCol w:w="837"/>
        <w:gridCol w:w="846"/>
        <w:gridCol w:w="109"/>
        <w:gridCol w:w="109"/>
        <w:gridCol w:w="109"/>
        <w:gridCol w:w="921"/>
        <w:gridCol w:w="921"/>
        <w:gridCol w:w="1307"/>
      </w:tblGrid>
      <w:tr>
        <w:trPr/>
        <w:tc>
          <w:tcPr>
            <w:tcW w:w="9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Position: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Chief Businesss Officer </w:t>
            </w:r>
          </w:p>
        </w:tc>
      </w:tr>
      <w:tr>
        <w:trPr/>
        <w:tc>
          <w:tcPr>
            <w:tcW w:w="26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Division/Department: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General &amp; Administrative</w:t>
            </w:r>
          </w:p>
        </w:tc>
      </w:tr>
      <w:tr>
        <w:trPr/>
        <w:tc>
          <w:tcPr>
            <w:tcW w:w="263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$415,000</w:t>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September 14, 2026</w:t>
            </w:r>
          </w:p>
        </w:tc>
      </w:tr>
      <w:tr>
        <w:trPr/>
        <w:tc>
          <w:tcPr>
            <w:tcW w:w="26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Remote</w:t>
            </w:r>
          </w:p>
        </w:tc>
      </w:tr>
    </w:tbl>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As Chief Business Officer, you will maintain flexible working hours appropriate to executive-level responsibilities, with general availability during business hours as needed to fulfill your duties. For clarity, pursuant to the terms of your Indemnification Agreement with the Company, you are entitled to certain rights and benefits thereunder and nothing herein modifies those rights. You will cease to be a section 16 officer and executive officer in your role as Chief Business Officer.</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In addition to the base salary, this full-time employment offer includes the following benefit programs:</w:t>
      </w:r>
    </w:p>
    <w:p>
      <w:pPr>
        <w:pStyle w:val="TextBody"/>
        <w:bidi w:val="0"/>
        <w:spacing w:before="0" w:after="0"/>
        <w:jc w:val="left"/>
        <w:rPr/>
      </w:pPr>
      <w:r>
        <w:rPr/>
      </w:r>
    </w:p>
    <w:p>
      <w:pPr>
        <w:pStyle w:val="TextBody"/>
        <w:bidi w:val="0"/>
        <w:spacing w:lineRule="auto" w:line="259" w:before="0" w:after="0"/>
        <w:jc w:val="both"/>
        <w:rPr>
          <w:rFonts w:ascii="sans-serif" w:hAnsi="sans-serif"/>
          <w:b/>
          <w:color w:val="000000"/>
          <w:sz w:val="22"/>
        </w:rPr>
      </w:pPr>
      <w:r>
        <w:rPr>
          <w:rFonts w:ascii="sans-serif" w:hAnsi="sans-serif"/>
          <w:b/>
          <w:color w:val="000000"/>
          <w:sz w:val="22"/>
        </w:rPr>
        <w:t xml:space="preserve">Bonus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For the 2026 fiscal year, subject to the other terms in this paragraph, you will be eligible to receive a bonus, at target, equal to the sum of (i) 75% of your annual base salary, at the rate then in effect while you served as President and Chief Operating Officer of HC ($475,000), prorated based upon the number of days you were employed during such year as President and Chief Operating Officer, plus (ii) 100% of your annual base salary, at the rate in effect while you served as Chief Executive Officer of HC ($600,000), prorated based upon the number of days you were employed during such year as Chief Executive Officer, plus (iii) 60% of your annual base salary, prorated based upon the number of days you were employed during the year as Chief Business Officer of the Company. Starting with the 2027 fiscal year, you will be eligible to receive a bonus equal to 60% of your annual base salary. Any such bonuses will be subject to HC’s board of directors (the “Board”) measuring and approving achievement of company performance initiatives, which may be amended by the Board from time to time. The bonus for any fiscal year will be paid every 12 months, after approval from the Board and HC’s books for that period have been closed, but in any event no later than March 15 of the year following the bonus year. The bonus, to the extent earned, will be paid if you are employed by HC on the last day of the measurement period or if your employment is terminated by the Company without Cause or by you for Good Reason (as such terms are defined in the Executive Severance Plan, as amended from time to time in accordance with the terms herein, the “Severance Plan”), provided, however subsection (i)(iii) of Good Reason shall not apply for purposes of this sentence.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Restricted Stock Unit Grant</w:t>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 xml:space="preserve">As Chief Business Officer, you will remain eligible to receive equity grants from the Company. In addition, for clarity, your transition from the role of Chief Executive Officer to the role of Chief Business Officer does not constitute an interruption of your Service Relationship (as such term is defined in the HC 2019 Stock Option and Incentive Plan) with HC, and as such, any equity awards you received in connection with your service as Chief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Executive Officer of HC will continue to vest while you serve as Chief Business Officer in accordance with their terms.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Benefit Plans and Fringe Benefits</w:t>
      </w:r>
    </w:p>
    <w:p>
      <w:pPr>
        <w:pStyle w:val="TextBody"/>
        <w:bidi w:val="0"/>
        <w:spacing w:lineRule="auto" w:line="292" w:before="0" w:after="0"/>
        <w:jc w:val="both"/>
        <w:rPr>
          <w:rFonts w:ascii="sans-serif" w:hAnsi="sans-serif"/>
          <w:b w:val="false"/>
          <w:color w:val="000000"/>
          <w:sz w:val="22"/>
        </w:rPr>
      </w:pPr>
      <w:r>
        <w:rPr>
          <w:rFonts w:ascii="sans-serif" w:hAnsi="sans-serif"/>
          <w:b w:val="false"/>
          <w:color w:val="000000"/>
          <w:sz w:val="22"/>
        </w:rPr>
        <w:t xml:space="preserve">Eligibility began on the first day of your employment with Health Catalyst. </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2"/>
        </w:rPr>
        <w:t xml:space="preserve">Medical, Vision, and Dental Insurance: </w:t>
      </w:r>
      <w:r>
        <w:rPr>
          <w:rFonts w:ascii="sans-serif" w:hAnsi="sans-serif"/>
          <w:b w:val="false"/>
          <w:color w:val="000000"/>
          <w:sz w:val="22"/>
        </w:rPr>
        <w:t>HC offers both a Traditional and HSA-High Deductible Health Plan options. HC also provides an employer contribution to those enrolled in the HSA-HDHP.</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2"/>
        </w:rPr>
        <w:t>Basic Life, Accidental Death and Dismemberment, and Disability Insurance:</w:t>
      </w:r>
      <w:r>
        <w:rPr>
          <w:color w:val="000000"/>
        </w:rPr>
        <w:t xml:space="preserve"> </w:t>
      </w:r>
      <w:r>
        <w:rPr>
          <w:rFonts w:ascii="sans-serif" w:hAnsi="sans-serif"/>
          <w:b w:val="false"/>
          <w:color w:val="000000"/>
          <w:sz w:val="22"/>
        </w:rPr>
        <w:t>These insurance programs are paid 100% by HC. Additional life insurance may be purchased at the expense of the team member.</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2"/>
        </w:rPr>
        <w:t xml:space="preserve">Flexible Spending Account: </w:t>
      </w:r>
      <w:r>
        <w:rPr>
          <w:rFonts w:ascii="sans-serif" w:hAnsi="sans-serif"/>
          <w:b w:val="false"/>
          <w:color w:val="000000"/>
          <w:sz w:val="22"/>
        </w:rPr>
        <w:t>HC offers FSAs for medical, limited purpose, and dependent expense accounts. FSAs allow you to contribute pre-tax dollars which can be used to pay for qualifying expenses not otherwise covered under normal health-related insurance plans.</w:t>
      </w:r>
    </w:p>
    <w:p>
      <w:pPr>
        <w:pStyle w:val="TextBody"/>
        <w:bidi w:val="0"/>
        <w:spacing w:lineRule="auto" w:line="268" w:before="0" w:after="0"/>
        <w:ind w:left="0" w:right="0" w:hanging="360"/>
        <w:jc w:val="left"/>
        <w:rPr/>
      </w:pPr>
      <w:r>
        <w:rPr>
          <w:color w:val="000000"/>
        </w:rPr>
        <w:t>•</w:t>
      </w:r>
      <w:r>
        <w:rPr>
          <w:rFonts w:ascii="sans-serif" w:hAnsi="sans-serif"/>
          <w:b w:val="false"/>
          <w:i/>
          <w:color w:val="000000"/>
          <w:sz w:val="22"/>
        </w:rPr>
        <w:t xml:space="preserve">Leadership Training. </w:t>
      </w:r>
      <w:r>
        <w:rPr>
          <w:rFonts w:ascii="sans-serif" w:hAnsi="sans-serif"/>
          <w:b w:val="false"/>
          <w:color w:val="000000"/>
          <w:sz w:val="22"/>
        </w:rPr>
        <w:t>The Company will pay or reimburse you for participation or membership in one leadership group at your request and as reasonably approved by the Company.</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Paid Time Off</w:t>
      </w:r>
    </w:p>
    <w:p>
      <w:pPr>
        <w:pStyle w:val="TextBody"/>
        <w:bidi w:val="0"/>
        <w:spacing w:lineRule="auto" w:line="268" w:before="0" w:after="0"/>
        <w:ind w:left="0" w:right="0" w:hanging="360"/>
        <w:jc w:val="both"/>
        <w:rPr/>
      </w:pPr>
      <w:r>
        <w:rPr>
          <w:color w:val="000000"/>
        </w:rPr>
        <w:t>•</w:t>
      </w:r>
      <w:r>
        <w:rPr>
          <w:rFonts w:ascii="sans-serif" w:hAnsi="sans-serif"/>
          <w:b w:val="false"/>
          <w:i/>
          <w:color w:val="000000"/>
          <w:sz w:val="22"/>
        </w:rPr>
        <w:t>Holiday Pay:</w:t>
      </w:r>
      <w:r>
        <w:rPr>
          <w:color w:val="000000"/>
        </w:rPr>
        <w:t xml:space="preserve"> </w:t>
      </w:r>
      <w:r>
        <w:rPr>
          <w:rFonts w:ascii="sans-serif" w:hAnsi="sans-serif"/>
          <w:b w:val="false"/>
          <w:color w:val="000000"/>
          <w:sz w:val="22"/>
        </w:rPr>
        <w:t xml:space="preserve">Health Catalyst offers its team members a very generous holiday pay benefit. Specific details about Company holiday schedule will be communicated in new hire orientation. </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Retirement Plan</w:t>
      </w:r>
      <w:r>
        <w:rPr>
          <w:color w:val="000000"/>
        </w:rPr>
        <w:t xml:space="preserve"> </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Health Catalyst offers a 401K Retirement Plan with eligibility beginning 90-days after initial employment. The plan allows for employer contributions. The HC 401K Plan is an auto-enrollment plan with a 6% default team member contribution rate.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Executive Severance Plan</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You will be designated a Tier 2 Executive under the Severance Plan, subject to the terms therein.</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All benefits are subject to change. Additional details about each benefit are available in the Team Member Handbook or by speaking directly with the Human Resource office.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Payroll</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For salaried team members, pay checks are issued on a semi-monthly basis with a total of 24 pay periods per calendar year.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EICA</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You have signed an Employee Invention and Confidentiality Agreement (“EICA”) and agree to the on-going compliance with such agreements as a condition of employment, to the extent you have not already signed the EICA. These agreements contain “employment at will”, “non-solicitation” and “non-disclosure” provisions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At Will Employment</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Employment with HC is “at-will.” This means that it is not for any specified period of time and can be terminated by you or by HC at any time, with or without advance notice or additional payment, and for any or no particular reason or cause. It also means that your job duties, title and responsibility and reporting level, compensation and benefits, as well as HC’s personnel policies and procedures, may be changed at any time, with or without notice, in the sole and absolute discretion of HC.</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The “at-will” nature of your employment shall remain unchanged during your tenure as a team member and may not be changed, except in an express writing signed by you and by a duly authorized officer of HC.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If you accept this offer, this letter and the written agreements referenced in this letter shall constitute the complete agreement between you and HC with respect to the initial terms and conditions of your employment. Any representations not contained in this letter, or contrary to those contained in this letter (whether written or oral), that may have been made to you are expressly cancelled and superseded by this offer. Except as otherwise specified in this letter, the terms and conditions of your employment pursuant to this letter may not be changed, except by a writing signed by a duly authorized officer of HC.</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HC reserves the right to provide you with additional policies in addition to any existing written policies that would apply to the terms of your employment.</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Should your position, compensation, or benefits change over time the remaining sections of this agreement will still be valid. If any provision in this offer or compliance by you or HC with any provision of this offer constitutes a violation of any law, or is or becomes unenforceable or void, it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offer, which provisions and terms will remain in effect.</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You should keep a copy of this letter for your own records. If you have any questions regarding this offer, please contact Becky Vea, Chief Human Resources Officer at your earliest convenience.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We look forward to you serving in this new role. By your signature below, you acknowledge and agree that nothing in this offer letter, any changes in role with the Company as outlined under this offer letter and/or your related resignation and transition of duties will constitute “Good Reason” or any term of similar effect under the Company’s Executive Severance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8125" w:type="dxa"/>
        <w:jc w:val="left"/>
        <w:tblInd w:w="0" w:type="dxa"/>
        <w:tblLayout w:type="fixed"/>
        <w:tblCellMar>
          <w:top w:w="28" w:type="dxa"/>
          <w:left w:w="28" w:type="dxa"/>
          <w:bottom w:w="28" w:type="dxa"/>
          <w:right w:w="28" w:type="dxa"/>
        </w:tblCellMar>
      </w:tblPr>
      <w:tblGrid>
        <w:gridCol w:w="1405"/>
        <w:gridCol w:w="1237"/>
        <w:gridCol w:w="1242"/>
        <w:gridCol w:w="109"/>
        <w:gridCol w:w="109"/>
        <w:gridCol w:w="109"/>
        <w:gridCol w:w="1144"/>
        <w:gridCol w:w="1144"/>
        <w:gridCol w:w="162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Justin Spencer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4"/>
              </w:rPr>
            </w:pPr>
            <w:r>
              <w:rPr>
                <w:rFonts w:ascii="sans-serif" w:hAnsi="sans-serif"/>
                <w:b w:val="false"/>
                <w:color w:val="000000"/>
                <w:sz w:val="24"/>
              </w:rPr>
              <w:t>Matt Arens</w:t>
            </w:r>
          </w:p>
        </w:tc>
      </w:tr>
      <w:tr>
        <w:trPr/>
        <w:tc>
          <w:tcPr>
            <w:tcW w:w="388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Board Member, Health Catalyst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4"/>
              </w:rPr>
            </w:pPr>
            <w:r>
              <w:rPr>
                <w:rFonts w:ascii="sans-serif" w:hAnsi="sans-serif"/>
                <w:b w:val="false"/>
                <w:color w:val="000000"/>
                <w:sz w:val="24"/>
              </w:rPr>
              <w:t>Board Member, Health Catalyst</w:t>
            </w:r>
          </w:p>
        </w:tc>
      </w:tr>
      <w:tr>
        <w:trPr/>
        <w:tc>
          <w:tcPr>
            <w:tcW w:w="3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HEALTH CATALYST,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2026 EMPLOYMENT INDUCEMENT INCENTIVE PLAN</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GENERAL PURPOSE OF THE PLAN; DEFINITIONS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name of the plan is the Health Catalyst, Inc. 2026 Employment Inducement Incentive Plan (the “Plan”). The purpose of the Plan is to encourage and enable employees of Health Catalyst,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Subsidiaries.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terms shall be defined as set forth below:</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Act</w:t>
      </w:r>
      <w:r>
        <w:rPr>
          <w:color w:val="000000"/>
        </w:rPr>
        <w:t xml:space="preserve">” </w:t>
      </w:r>
      <w:r>
        <w:rPr>
          <w:rFonts w:ascii="Times New Roman;serif" w:hAnsi="Times New Roman;serif"/>
          <w:b w:val="false"/>
          <w:color w:val="000000"/>
          <w:sz w:val="24"/>
        </w:rPr>
        <w:t>means the U.S. Securities Act of 1933, as amended, and the rules and regulations thereunder.</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Administrator</w:t>
      </w:r>
      <w:r>
        <w:rPr>
          <w:color w:val="000000"/>
        </w:rPr>
        <w:t xml:space="preserve">” </w:t>
      </w:r>
      <w:r>
        <w:rPr>
          <w:rFonts w:ascii="Times New Roman;serif" w:hAnsi="Times New Roman;serif"/>
          <w:b w:val="false"/>
          <w:color w:val="000000"/>
          <w:sz w:val="24"/>
        </w:rPr>
        <w:t>means either the Board or the compensation committee of the Board or a similar committee performing the functions of the compensation committee and which is comprised of not less than two Non</w:t>
        <w:noBreakHyphen/>
        <w:t>Employee Directors who are independent.</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Award</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Awards</w:t>
      </w:r>
      <w:r>
        <w:rPr>
          <w:rFonts w:ascii="Times New Roman;serif" w:hAnsi="Times New Roman;serif"/>
          <w:b w:val="false"/>
          <w:color w:val="000000"/>
          <w:sz w:val="24"/>
        </w:rPr>
        <w:t>,” except where referring to a particular category of grant under the Plan, shall include Stock Options, Stock Appreciation Rights, Restricted Stock Units, Restricted Stock Awards, Unrestricted Stock Awards, Cash-Based Awards, and Dividend Equivalent Rights.</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Award Agreement</w:t>
      </w:r>
      <w:r>
        <w:rPr>
          <w:color w:val="000000"/>
        </w:rPr>
        <w:t xml:space="preserve">” </w:t>
      </w:r>
      <w:r>
        <w:rPr>
          <w:rFonts w:ascii="Times New Roman;serif" w:hAnsi="Times New Roman;serif"/>
          <w:b w:val="false"/>
          <w:color w:val="000000"/>
          <w:sz w:val="24"/>
        </w:rPr>
        <w:t>means a written or electronic document setting forth the terms and provisions applicable to an Award granted under the Plan. Each Award Agreement is subject to the terms and conditions of the Plan.</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Cash-Based Award</w:t>
      </w:r>
      <w:r>
        <w:rPr>
          <w:color w:val="000000"/>
        </w:rPr>
        <w:t xml:space="preserve">” </w:t>
      </w:r>
      <w:r>
        <w:rPr>
          <w:rFonts w:ascii="Times New Roman;serif" w:hAnsi="Times New Roman;serif"/>
          <w:b w:val="false"/>
          <w:color w:val="000000"/>
          <w:sz w:val="24"/>
        </w:rPr>
        <w:t>means an Award entitling the recipient to receive a cash-denominated payment.</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and any successor Code, and related rules, regulations and interpretations.</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Dividend Equivalent Right</w:t>
      </w:r>
      <w:r>
        <w:rPr>
          <w:color w:val="000000"/>
        </w:rPr>
        <w:t xml:space="preserve">” </w:t>
      </w:r>
      <w:r>
        <w:rPr>
          <w:rFonts w:ascii="Times New Roman;serif" w:hAnsi="Times New Roman;serif"/>
          <w:b w:val="false"/>
          <w:color w:val="000000"/>
          <w:sz w:val="24"/>
        </w:rPr>
        <w:t>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Effective Date</w:t>
      </w:r>
      <w:r>
        <w:rPr>
          <w:color w:val="000000"/>
        </w:rPr>
        <w:t xml:space="preserve">” </w:t>
      </w:r>
      <w:r>
        <w:rPr>
          <w:rFonts w:ascii="Times New Roman;serif" w:hAnsi="Times New Roman;serif"/>
          <w:b w:val="false"/>
          <w:color w:val="000000"/>
          <w:sz w:val="24"/>
        </w:rPr>
        <w:t>means the date on which the Plan becomes effective as set forth in Section 19.</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4"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Eligible Employee</w:t>
      </w:r>
      <w:r>
        <w:rPr>
          <w:color w:val="000000"/>
        </w:rPr>
        <w:t xml:space="preserve">” </w:t>
      </w:r>
      <w:r>
        <w:rPr>
          <w:rFonts w:ascii="Times New Roman;serif" w:hAnsi="Times New Roman;serif"/>
          <w:b w:val="false"/>
          <w:color w:val="000000"/>
          <w:sz w:val="24"/>
        </w:rPr>
        <w:t xml:space="preserve">means any employee who has not previously been an employee or director of the Company or a Subsidiary, or who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The Administrator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 </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U.S. Securities Exchange Act of 1934, as amended, and the rules and regulations thereunder.</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Fair Market Value</w:t>
      </w:r>
      <w:r>
        <w:rPr>
          <w:color w:val="000000"/>
        </w:rPr>
        <w:t xml:space="preserve">” </w:t>
      </w:r>
      <w:r>
        <w:rPr>
          <w:rFonts w:ascii="Times New Roman;serif" w:hAnsi="Times New Roman;serif"/>
          <w:b w:val="false"/>
          <w:color w:val="000000"/>
          <w:sz w:val="24"/>
        </w:rPr>
        <w:t>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Incentive Stock Option</w:t>
      </w:r>
      <w:r>
        <w:rPr>
          <w:color w:val="000000"/>
        </w:rPr>
        <w:t xml:space="preserve">” </w:t>
      </w:r>
      <w:r>
        <w:rPr>
          <w:rFonts w:ascii="Times New Roman;serif" w:hAnsi="Times New Roman;serif"/>
          <w:b w:val="false"/>
          <w:color w:val="000000"/>
          <w:sz w:val="24"/>
        </w:rPr>
        <w:t>means any Stock Option designated and qualified as an “incentive stock option” as defined in Section 422 of the Code.</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Non-Employee Director</w:t>
      </w:r>
      <w:r>
        <w:rPr>
          <w:color w:val="000000"/>
        </w:rPr>
        <w:t xml:space="preserve">” </w:t>
      </w:r>
      <w:r>
        <w:rPr>
          <w:rFonts w:ascii="Times New Roman;serif" w:hAnsi="Times New Roman;serif"/>
          <w:b w:val="false"/>
          <w:color w:val="000000"/>
          <w:sz w:val="24"/>
        </w:rPr>
        <w:t>means a member of the Board who is not also an employee of the Company or any Subsidiary.</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Non-Qualified Stock Option</w:t>
      </w:r>
      <w:r>
        <w:rPr>
          <w:color w:val="000000"/>
        </w:rPr>
        <w:t xml:space="preserve">” </w:t>
      </w:r>
      <w:r>
        <w:rPr>
          <w:rFonts w:ascii="Times New Roman;serif" w:hAnsi="Times New Roman;serif"/>
          <w:b w:val="false"/>
          <w:color w:val="000000"/>
          <w:sz w:val="24"/>
        </w:rPr>
        <w:t>means any Stock Option that is not an Incentive Stock Option.</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Option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Stock Option</w:t>
      </w:r>
      <w:r>
        <w:rPr>
          <w:color w:val="000000"/>
        </w:rPr>
        <w:t xml:space="preserve">” </w:t>
      </w:r>
      <w:r>
        <w:rPr>
          <w:rFonts w:ascii="Times New Roman;serif" w:hAnsi="Times New Roman;serif"/>
          <w:b w:val="false"/>
          <w:color w:val="000000"/>
          <w:sz w:val="24"/>
        </w:rPr>
        <w:t>means any option to purchase shares of Stock granted pursuant to Section 5.</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Restricted Shares</w:t>
      </w:r>
      <w:r>
        <w:rPr>
          <w:color w:val="000000"/>
        </w:rPr>
        <w:t xml:space="preserve">” </w:t>
      </w:r>
      <w:r>
        <w:rPr>
          <w:rFonts w:ascii="Times New Roman;serif" w:hAnsi="Times New Roman;serif"/>
          <w:b w:val="false"/>
          <w:color w:val="000000"/>
          <w:sz w:val="24"/>
        </w:rPr>
        <w:t>means the shares of Stock underlying a Restricted Stock Award that remain subject to a risk of forfeiture or the Company’s right of repurchase.</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Restricted Stock Award</w:t>
      </w:r>
      <w:r>
        <w:rPr>
          <w:color w:val="000000"/>
        </w:rPr>
        <w:t xml:space="preserve">” </w:t>
      </w:r>
      <w:r>
        <w:rPr>
          <w:rFonts w:ascii="Times New Roman;serif" w:hAnsi="Times New Roman;serif"/>
          <w:b w:val="false"/>
          <w:color w:val="000000"/>
          <w:sz w:val="24"/>
        </w:rPr>
        <w:t>means an Award of Restricted Shares subject to such restrictions and conditions as the Administrator may determine at the time of grant.</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Restricted Stock Units</w:t>
      </w:r>
      <w:r>
        <w:rPr>
          <w:color w:val="000000"/>
        </w:rPr>
        <w:t xml:space="preserve">” </w:t>
      </w:r>
      <w:r>
        <w:rPr>
          <w:rFonts w:ascii="Times New Roman;serif" w:hAnsi="Times New Roman;serif"/>
          <w:b w:val="false"/>
          <w:color w:val="000000"/>
          <w:sz w:val="24"/>
        </w:rPr>
        <w:t>means an Award of stock units subject to such restrictions and conditions as the Administrator may determine at the time of grant.</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5"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Sale Event</w:t>
      </w:r>
      <w:r>
        <w:rPr>
          <w:color w:val="000000"/>
        </w:rPr>
        <w:t xml:space="preserve">” </w:t>
      </w:r>
      <w:r>
        <w:rPr>
          <w:rFonts w:ascii="Times New Roman;serif" w:hAnsi="Times New Roman;serif"/>
          <w:b w:val="false"/>
          <w:color w:val="000000"/>
          <w:sz w:val="24"/>
        </w:rPr>
        <w:t>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Sale Price</w:t>
      </w:r>
      <w:r>
        <w:rPr>
          <w:color w:val="000000"/>
        </w:rPr>
        <w:t xml:space="preserve">” </w:t>
      </w:r>
      <w:r>
        <w:rPr>
          <w:rFonts w:ascii="Times New Roman;serif" w:hAnsi="Times New Roman;serif"/>
          <w:b w:val="false"/>
          <w:color w:val="000000"/>
          <w:sz w:val="24"/>
        </w:rPr>
        <w:t>means the value as determined by the Administrator of the consideration payable, or otherwise to be received by stockholders, per share of Stock pursuant to a Sale Event.</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Section 409A</w:t>
      </w:r>
      <w:r>
        <w:rPr>
          <w:color w:val="000000"/>
        </w:rPr>
        <w:t xml:space="preserve">” </w:t>
      </w:r>
      <w:r>
        <w:rPr>
          <w:rFonts w:ascii="Times New Roman;serif" w:hAnsi="Times New Roman;serif"/>
          <w:b w:val="false"/>
          <w:color w:val="000000"/>
          <w:sz w:val="24"/>
        </w:rPr>
        <w:t>means Section 409A of the Code and the regulations and other guidance promulgated thereunder.</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Service Relationship</w:t>
      </w:r>
      <w:r>
        <w:rPr>
          <w:color w:val="000000"/>
        </w:rPr>
        <w:t xml:space="preserve">” </w:t>
      </w:r>
      <w:r>
        <w:rPr>
          <w:rFonts w:ascii="Times New Roman;serif" w:hAnsi="Times New Roman;serif"/>
          <w:b w:val="false"/>
          <w:color w:val="000000"/>
          <w:sz w:val="24"/>
        </w:rPr>
        <w:t>means any relationship as an employee of the Company or any Subsidiary. Unless as otherwise set forth in the Award Agreement, a Service Relationship shall be deemed to continue without interruption in the event a grantee’s status changes from full-time employee to part-time employee or vice versa, provided that there is no interruption or other termination of Service Relationship in connection with the grantee’s change in capacity.</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Stock</w:t>
      </w:r>
      <w:r>
        <w:rPr>
          <w:color w:val="000000"/>
        </w:rPr>
        <w:t xml:space="preserve">” </w:t>
      </w:r>
      <w:r>
        <w:rPr>
          <w:rFonts w:ascii="Times New Roman;serif" w:hAnsi="Times New Roman;serif"/>
          <w:b w:val="false"/>
          <w:color w:val="000000"/>
          <w:sz w:val="24"/>
        </w:rPr>
        <w:t>means the Common Stock, par value $0.001 per share, of the Company, subject to adjustments pursuant to Section 3.</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Stock Appreciation Right</w:t>
      </w:r>
      <w:r>
        <w:rPr>
          <w:color w:val="000000"/>
        </w:rPr>
        <w:t xml:space="preserve">” </w:t>
      </w:r>
      <w:r>
        <w:rPr>
          <w:rFonts w:ascii="Times New Roman;serif" w:hAnsi="Times New Roman;serif"/>
          <w:b w:val="false"/>
          <w:color w:val="000000"/>
          <w:sz w:val="24"/>
        </w:rPr>
        <w:t>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any corporation or other entity (other than the Company) in which the Company has at least a 50 percent interest, either directly or indirectly.</w:t>
      </w:r>
    </w:p>
    <w:p>
      <w:pPr>
        <w:pStyle w:val="TextBody"/>
        <w:bidi w:val="0"/>
        <w:spacing w:lineRule="auto" w:line="240" w:before="0" w:after="240"/>
        <w:ind w:left="0" w:right="0" w:firstLine="720"/>
        <w:jc w:val="left"/>
        <w:rPr/>
      </w:pPr>
      <w:r>
        <w:rPr>
          <w:color w:val="000000"/>
        </w:rPr>
        <w:t>“</w:t>
      </w:r>
      <w:r>
        <w:rPr>
          <w:rFonts w:ascii="Times New Roman;serif" w:hAnsi="Times New Roman;serif"/>
          <w:b w:val="false"/>
          <w:i/>
          <w:color w:val="000000"/>
          <w:sz w:val="24"/>
        </w:rPr>
        <w:t>Unrestricted Stock Award</w:t>
      </w:r>
      <w:r>
        <w:rPr>
          <w:color w:val="000000"/>
        </w:rPr>
        <w:t xml:space="preserve">” </w:t>
      </w:r>
      <w:r>
        <w:rPr>
          <w:rFonts w:ascii="Times New Roman;serif" w:hAnsi="Times New Roman;serif"/>
          <w:b w:val="false"/>
          <w:color w:val="000000"/>
          <w:sz w:val="24"/>
        </w:rPr>
        <w:t>means an Award of shares of Stock free of any restrictions.</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ADMINISTRATION OF PLAN; ADMINISTRATOR AUTHORITY TO SELECT GRANTEES AND DETERMINE AWARDS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Administration of Plan</w:t>
      </w:r>
      <w:r>
        <w:rPr>
          <w:rFonts w:ascii="Times New Roman;serif" w:hAnsi="Times New Roman;serif"/>
          <w:b w:val="false"/>
          <w:color w:val="000000"/>
          <w:sz w:val="24"/>
        </w:rPr>
        <w:t>. The Plan shall be administered by the Administrator.</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Powers of Administrator</w:t>
      </w:r>
      <w:r>
        <w:rPr>
          <w:rFonts w:ascii="Times New Roman;serif" w:hAnsi="Times New Roman;serif"/>
          <w:b w:val="false"/>
          <w:color w:val="000000"/>
          <w:sz w:val="24"/>
        </w:rPr>
        <w:t>. The Administrator shall have the power and authority to grant Awards consistent with the terms of the Plan, including the power and authority: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to select the Eligible Employees to whom Awards may from time to time be granted;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to determine the time or times of grant, and the extent, if any, of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6"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to determine the number of shares of Stock to be covered by any Award;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rPr>
        <w:t>to accelerate at any time the exercisability or vesting of all or any portion of any Award;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(vi)</w:t>
      </w:r>
      <w:r>
        <w:rPr>
          <w:rFonts w:ascii="Times New Roman;serif" w:hAnsi="Times New Roman;serif"/>
          <w:b w:val="false"/>
          <w:color w:val="000000"/>
          <w:sz w:val="24"/>
        </w:rPr>
        <w:t xml:space="preserve">subject to the provisions of Section 5(c), to extend at any time the period in which Stock Options may be exercised;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(vii)</w:t>
      </w:r>
      <w:r>
        <w:rPr>
          <w:rFonts w:ascii="Times New Roman;serif" w:hAnsi="Times New Roman;serif"/>
          <w:b w:val="false"/>
          <w:color w:val="000000"/>
          <w:sz w:val="24"/>
        </w:rPr>
        <w:t>make all other determinations necessary or advisable for the administration of the Plan, including imposing,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(viii)</w:t>
      </w:r>
      <w:r>
        <w:rPr>
          <w:rFonts w:ascii="Times New Roman;serif" w:hAnsi="Times New Roman;serif"/>
          <w:b w:val="false"/>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decisions and interpretations of the Administrator shall be binding on all persons, including the Company and Plan grantees.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Delegation of Authority to Grant Awards</w:t>
      </w:r>
      <w:r>
        <w:rPr>
          <w:rFonts w:ascii="Times New Roman;serif" w:hAnsi="Times New Roman;serif"/>
          <w:b w:val="false"/>
          <w:color w:val="000000"/>
          <w:sz w:val="24"/>
        </w:rPr>
        <w:t>. Subject to applicable law, the Administrator, in its discretion, may delegate to a committee consisting of one or more officers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Award Agreement</w:t>
      </w:r>
      <w:r>
        <w:rPr>
          <w:rFonts w:ascii="Times New Roman;serif" w:hAnsi="Times New Roman;serif"/>
          <w:b w:val="false"/>
          <w:color w:val="000000"/>
          <w:sz w:val="24"/>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7"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Non-U.S. Award Recipients</w:t>
      </w:r>
      <w:r>
        <w:rPr>
          <w:rFonts w:ascii="Times New Roman;serif" w:hAnsi="Times New Roman;serif"/>
          <w:b w:val="false"/>
          <w:color w:val="000000"/>
          <w:sz w:val="24"/>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STOCK ISSUABLE UNDER THE PLAN; MERGERS; SUBSTITUTION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Stock Issuable</w:t>
      </w:r>
      <w:r>
        <w:rPr>
          <w:rFonts w:ascii="Times New Roman;serif" w:hAnsi="Times New Roman;serif"/>
          <w:b w:val="false"/>
          <w:color w:val="000000"/>
          <w:sz w:val="24"/>
        </w:rPr>
        <w:t>. The maximum number of shares of Stock reserved and available for issuance under the Plan shall be 2,747,385 shares.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8"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Changes in Stock</w:t>
      </w:r>
      <w:r>
        <w:rPr>
          <w:rFonts w:ascii="Times New Roman;serif" w:hAnsi="Times New Roman;serif"/>
          <w:b w:val="false"/>
          <w:color w:val="000000"/>
          <w:sz w:val="24"/>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Mergers and Other Transactions</w:t>
      </w:r>
      <w:r>
        <w:rPr>
          <w:rFonts w:ascii="Times New Roman;serif" w:hAnsi="Times New Roman;serif"/>
          <w:b w:val="false"/>
          <w:color w:val="000000"/>
          <w:sz w:val="24"/>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9"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ELIGIBILITY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Grantees under the Plan will consist solely of Eligible Employees.</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STOCK OPTIONS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Options</w:t>
      </w:r>
      <w:r>
        <w:rPr>
          <w:rFonts w:ascii="Times New Roman;serif" w:hAnsi="Times New Roman;serif"/>
          <w:b w:val="false"/>
          <w:color w:val="000000"/>
          <w:sz w:val="24"/>
        </w:rPr>
        <w:t>. 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Stock Options granted under the Plan shall be Non-Qualified Stock Options. 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exercise price per share for the Stock covered by a Stock Option granted pursuant to this Section 5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Option Term</w:t>
      </w:r>
      <w:r>
        <w:rPr>
          <w:rFonts w:ascii="Times New Roman;serif" w:hAnsi="Times New Roman;serif"/>
          <w:b w:val="false"/>
          <w:color w:val="000000"/>
          <w:sz w:val="24"/>
        </w:rPr>
        <w:t xml:space="preserve">. The term of each Stock Option shall be fixed by the Administrator, but no Stock Option shall be exercisable more than ten years after the date the Stock Option is granted. </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 Rights of a Stockholder</w:t>
      </w:r>
      <w:r>
        <w:rPr>
          <w:rFonts w:ascii="Times New Roman;serif" w:hAnsi="Times New Roman;serif"/>
          <w:b w:val="false"/>
          <w:color w:val="000000"/>
          <w:sz w:val="24"/>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In cash, by certified or bank check or other instrument acceptable to the Administrator;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pStyle w:val="TextBody"/>
        <w:bidi w:val="0"/>
        <w:ind w:left="0" w:right="0" w:firstLine="18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0"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taxes that the Company or a Subsidiary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STOCK APPRECIATION RIGHTS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Appreciation Rights</w:t>
      </w:r>
      <w:r>
        <w:rPr>
          <w:rFonts w:ascii="Times New Roman;serif" w:hAnsi="Times New Roman;serif"/>
          <w:b w:val="false"/>
          <w:color w:val="000000"/>
          <w:sz w:val="24"/>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 of Stock Appreciation Rights</w:t>
      </w:r>
      <w:r>
        <w:rPr>
          <w:rFonts w:ascii="Times New Roman;serif" w:hAnsi="Times New Roman;serif"/>
          <w:b w:val="false"/>
          <w:color w:val="000000"/>
          <w:sz w:val="24"/>
        </w:rPr>
        <w:t>. The exercise price of a Stock Appreciation Right shall not be less than 100 percent of the Fair Market Value of the Stock on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Grant and Exercise of Stock Appreciation Rights</w:t>
      </w:r>
      <w:r>
        <w:rPr>
          <w:rFonts w:ascii="Times New Roman;serif" w:hAnsi="Times New Roman;serif"/>
          <w:b w:val="false"/>
          <w:color w:val="000000"/>
          <w:sz w:val="24"/>
        </w:rPr>
        <w:t>. Stock Appreciation Rights may be granted by the Administrator independently of any Stock Option granted pursuant to Section 5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Terms and Conditions of Stock Appreciation Rights</w:t>
      </w:r>
      <w:r>
        <w:rPr>
          <w:rFonts w:ascii="Times New Roman;serif" w:hAnsi="Times New Roman;serif"/>
          <w:b w:val="false"/>
          <w:color w:val="000000"/>
          <w:sz w:val="24"/>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1"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RESTRICTED STOCK AWARDS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Awards</w:t>
      </w:r>
      <w:r>
        <w:rPr>
          <w:rFonts w:ascii="Times New Roman;serif" w:hAnsi="Times New Roman;serif"/>
          <w:b w:val="false"/>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and/or achievement of pre-established performance goals and objectives.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Restrictions</w:t>
      </w:r>
      <w:r>
        <w:rPr>
          <w:rFonts w:ascii="Times New Roman;serif" w:hAnsi="Times New Roman;serif"/>
          <w:b w:val="false"/>
          <w:color w:val="000000"/>
          <w:sz w:val="24"/>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15 below, in writing after the Award is issued, if a grantee’s employment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Vesting of Restricted Shares</w:t>
      </w:r>
      <w:r>
        <w:rPr>
          <w:rFonts w:ascii="Times New Roman;serif" w:hAnsi="Times New Roman;serif"/>
          <w:b w:val="false"/>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ind w:left="0" w:right="0" w:hanging="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2"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Section 8.RESTRICTED STOCK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Units</w:t>
      </w:r>
      <w:r>
        <w:rPr>
          <w:rFonts w:ascii="Times New Roman;serif" w:hAnsi="Times New Roman;serif"/>
          <w:b w:val="false"/>
          <w:color w:val="000000"/>
          <w:sz w:val="24"/>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Election to Receive Restricted Stock Units in Lieu of Compensation</w:t>
      </w:r>
      <w:r>
        <w:rPr>
          <w:rFonts w:ascii="Times New Roman;serif" w:hAnsi="Times New Roman;serif"/>
          <w:b w:val="false"/>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Agreement or, subject to Section 15 below, in writing after the Award is issued, a grantee’s right in all Restricted Stock Units that have not vested shall automatically terminate upon the grantee’s termination of employment with the Company and its Subsidiaries for any reason.</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UNRESTRICTED STOCK AWARDS</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Grant or Sale of Unrestricted Stock</w:t>
      </w:r>
      <w:r>
        <w:rPr>
          <w:rFonts w:ascii="Times New Roman;serif" w:hAnsi="Times New Roman;serif"/>
          <w:b w:val="false"/>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lieu of cash compensation due to such grantee.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3"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CASH-BASED AWARDS</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Grant of Cash-Based Awards</w:t>
      </w:r>
      <w:r>
        <w:rPr>
          <w:rFonts w:ascii="Times New Roman;serif" w:hAnsi="Times New Roman;serif"/>
          <w:b w:val="false"/>
          <w:color w:val="000000"/>
          <w:sz w:val="24"/>
        </w:rPr>
        <w:t>. The Administrator may grant Cash-Based Awards under the Plan. A Cash-Based Award is an Award that entitles the grantee to a payment in cash upon the attainment of specified performance goals, including continued employment.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DIVIDEND EQUIVALENT RIGHTS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Dividend Equivalent Rights</w:t>
      </w:r>
      <w:r>
        <w:rPr>
          <w:rFonts w:ascii="Times New Roman;serif" w:hAnsi="Times New Roman;serif"/>
          <w:b w:val="false"/>
          <w:color w:val="000000"/>
          <w:sz w:val="24"/>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Agreement or, subject to Section 15 below, in writing after the Award is issued, a grantee’s rights in all Dividend Equivalent Rights shall automatically terminate upon the grantee’s termination of employment with the Company and its Subsidiaries for any reason.</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12.</w:t>
      </w:r>
      <w:r>
        <w:rPr>
          <w:rFonts w:ascii="Times New Roman;serif" w:hAnsi="Times New Roman;serif"/>
          <w:b w:val="false"/>
          <w:color w:val="000000"/>
          <w:sz w:val="24"/>
          <w:u w:val="single"/>
        </w:rPr>
        <w:t>TRANSFERABILITY OF AWARDS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4"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Administrator Action</w:t>
      </w:r>
      <w:r>
        <w:rPr>
          <w:rFonts w:ascii="Times New Roman;serif" w:hAnsi="Times New Roman;serif"/>
          <w:b w:val="false"/>
          <w:color w:val="000000"/>
          <w:sz w:val="24"/>
        </w:rPr>
        <w:t>. Notwithstanding Section 12(a), the Administrator, in its discretion, may provide either in the Award Agreement regarding a given Award or by subsequent written approval that the grantee may transfer his or her Award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Family Member</w:t>
      </w:r>
      <w:r>
        <w:rPr>
          <w:rFonts w:ascii="Times New Roman;serif" w:hAnsi="Times New Roman;serif"/>
          <w:b w:val="false"/>
          <w:color w:val="000000"/>
          <w:sz w:val="24"/>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13.</w:t>
      </w:r>
      <w:r>
        <w:rPr>
          <w:rFonts w:ascii="Times New Roman;serif" w:hAnsi="Times New Roman;serif"/>
          <w:b w:val="false"/>
          <w:color w:val="000000"/>
          <w:sz w:val="24"/>
          <w:u w:val="single"/>
        </w:rPr>
        <w:t>TAX WITHHOLDING</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Payment by Grantee</w:t>
      </w:r>
      <w:r>
        <w:rPr>
          <w:rFonts w:ascii="Times New Roman;serif" w:hAnsi="Times New Roman;serif"/>
          <w:b w:val="false"/>
          <w:color w:val="000000"/>
          <w:sz w:val="24"/>
        </w:rPr>
        <w:t>. Each grantee shall, no later than the date as of which the value of an Award or of any Stock or other amounts received thereunder first becomes includable in the gross income of the grantee for tax purposes, pay to the Company or any applicable Subsidiary, or make arrangements satisfactory to the Administrator regarding payment of, any U.S. and non-U.S. federal, state, or local taxes of any kind required by law to be withheld by the Company or any applicable Subsidiary with respect to such income. The Company and its Subsidiaries shall, to the extent permitted by law, have the right to deduct any such taxes from any payment of any kind otherwise due to the grantee or to satisfy any applicable withholding obligations by any other method of withholding that the Company and its Subsidiaries deem appropriate. The Company’s obligation to deliver evidence of book entry (or stock certificates) to any grantee is subject to and conditioned on tax withholding obligations being satisfied by the grantee.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 in Stock</w:t>
      </w:r>
      <w:r>
        <w:rPr>
          <w:rFonts w:ascii="Times New Roman;serif" w:hAnsi="Times New Roman;serif"/>
          <w:b w:val="false"/>
          <w:color w:val="000000"/>
          <w:sz w:val="24"/>
        </w:rPr>
        <w:t>. The Administrator may cause any tax withholding obligation of the Company or any applicable Subsidiary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The Administrator may also require any tax withholding obligation of the Company or any applicable Subsidiary to be satisfied, in whole or in part, by an arrangement whereby a certain number of shares of Stock issued pursuant to any Award are immediately sold and proceeds from such sale are remitted to the Company or any applicable Subsidiary in an amount that would satisfy the withholding amount due.</w:t>
      </w:r>
    </w:p>
    <w:p>
      <w:pPr>
        <w:pStyle w:val="TextBody"/>
        <w:bidi w:val="0"/>
        <w:ind w:left="0" w:right="0" w:hanging="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5"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Section 14.SECTION 409A AWARDS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15.</w:t>
      </w:r>
      <w:r>
        <w:rPr>
          <w:rFonts w:ascii="Times New Roman;serif" w:hAnsi="Times New Roman;serif"/>
          <w:b w:val="false"/>
          <w:color w:val="000000"/>
          <w:sz w:val="24"/>
          <w:u w:val="single"/>
        </w:rPr>
        <w:t>TERMINATION OF SERVICE RELATIONSHIP, TRANSFER, LEAVE OF ABSENCE, ETC</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of Service Relationship</w:t>
      </w:r>
      <w:r>
        <w:rPr>
          <w:rFonts w:ascii="Times New Roman;serif" w:hAnsi="Times New Roman;serif"/>
          <w:b w:val="false"/>
          <w:color w:val="000000"/>
          <w:sz w:val="24"/>
        </w:rPr>
        <w:t>. If the grantee’s Service Relationship is with a Subsidiary and such Subsidiary ceases to be a Subsidiary, the grantee shall be deemed to have terminated his or her Service Relationship for purposes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purposes of the Plan, the following events shall not be deemed a termination of a Service Relationship:</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a transfer to the Service Relationship of the Company from a Subsidiary or from the Company to a Subsidiary, or from one Subsidiary to another; 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an approved leave of absence, if the employee’s right to re-employment is guaranteed either by a statute or by contract or under the policy pursuant to which the leave of absence was granted or if the Administrator otherwise so provides in writing.</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16.</w:t>
      </w:r>
      <w:r>
        <w:rPr>
          <w:rFonts w:ascii="Times New Roman;serif" w:hAnsi="Times New Roman;serif"/>
          <w:b w:val="false"/>
          <w:color w:val="000000"/>
          <w:sz w:val="24"/>
          <w:u w:val="single"/>
        </w:rPr>
        <w:t>AMENDMENTS AND TERMINATION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Plan amendments shall be subject to approval by Company stockholders. Nothing in this Section 16 shall limit the Administrator’s authority to take any action permitted pursuant to Section 3(b) or 3(c).</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6"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17.</w:t>
      </w:r>
      <w:r>
        <w:rPr>
          <w:rFonts w:ascii="Times New Roman;serif" w:hAnsi="Times New Roman;serif"/>
          <w:b w:val="false"/>
          <w:color w:val="000000"/>
          <w:sz w:val="24"/>
          <w:u w:val="single"/>
        </w:rPr>
        <w:t>STATUS OF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18.</w:t>
      </w:r>
      <w:r>
        <w:rPr>
          <w:rFonts w:ascii="Times New Roman;serif" w:hAnsi="Times New Roman;serif"/>
          <w:b w:val="false"/>
          <w:color w:val="000000"/>
          <w:sz w:val="24"/>
          <w:u w:val="single"/>
        </w:rPr>
        <w:t>GENERAL PROVISIONS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No Distribution</w:t>
      </w:r>
      <w:r>
        <w:rPr>
          <w:rFonts w:ascii="Times New Roman;serif" w:hAnsi="Times New Roman;serif"/>
          <w:b w:val="false"/>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Issuance of Stock</w:t>
      </w:r>
      <w:r>
        <w:rPr>
          <w:rFonts w:ascii="Times New Roman;serif" w:hAnsi="Times New Roman;serif"/>
          <w:b w:val="false"/>
          <w:color w:val="000000"/>
          <w:sz w:val="24"/>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Stockholder Rights</w:t>
      </w:r>
      <w:r>
        <w:rPr>
          <w:rFonts w:ascii="Times New Roman;serif" w:hAnsi="Times New Roman;serif"/>
          <w:b w:val="false"/>
          <w:color w:val="000000"/>
          <w:sz w:val="24"/>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7"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Other Incentive Arrangements; No Rights to Continued Service Relationship</w:t>
      </w:r>
      <w:r>
        <w:rPr>
          <w:rFonts w:ascii="Times New Roman;serif" w:hAnsi="Times New Roman;serif"/>
          <w:b w:val="false"/>
          <w:color w:val="000000"/>
          <w:sz w:val="24"/>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Subsidiary.</w: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Trading Policy Restrictions</w:t>
      </w:r>
      <w:r>
        <w:rPr>
          <w:rFonts w:ascii="Times New Roman;serif" w:hAnsi="Times New Roman;serif"/>
          <w:b w:val="false"/>
          <w:color w:val="000000"/>
          <w:sz w:val="24"/>
        </w:rPr>
        <w:t>. Option exercises and other Awards under the Plan shall be subject to the Company’s insider trading policies and procedures, as in effect from time to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Awards under the Plan shall be subject to the Company’s clawback policy, as in effect from time to time.</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19.</w:t>
      </w:r>
      <w:r>
        <w:rPr>
          <w:rFonts w:ascii="Times New Roman;serif" w:hAnsi="Times New Roman;serif"/>
          <w:b w:val="false"/>
          <w:color w:val="000000"/>
          <w:sz w:val="24"/>
          <w:u w:val="single"/>
        </w:rPr>
        <w:t>ADOPTION AND STOCKHOLDER APPROVAL NOT REQUIRED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Plan shall become effective upon the date the Board adopts this Plan (the “Effective Date”).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(i) the Compensation Committee of the Board, comprised of Non-Employee Directors or (ii) a majority of the Company’s Non-Employee Directors. Accordingly, pursuant to Nasdaq Stock Market Rule 5635(c)(4), the issuance of Awards and the shares of Stock issuable upon exercise or vesting of such Awards pursuant to the Plan are not subject to the approval of the Company’s stockholders.</w:t>
      </w:r>
    </w:p>
    <w:p>
      <w:pPr>
        <w:pStyle w:val="TextBody"/>
        <w:bidi w:val="0"/>
        <w:spacing w:lineRule="auto" w:line="240" w:before="0" w:after="240"/>
        <w:ind w:left="0" w:right="0" w:hanging="1440"/>
        <w:jc w:val="both"/>
        <w:rPr/>
      </w:pPr>
      <w:r>
        <w:rPr>
          <w:rFonts w:ascii="Times New Roman;serif" w:hAnsi="Times New Roman;serif"/>
          <w:b w:val="false"/>
          <w:color w:val="000000"/>
          <w:sz w:val="24"/>
        </w:rPr>
        <w:t>Section 20.</w:t>
      </w:r>
      <w:r>
        <w:rPr>
          <w:rFonts w:ascii="Times New Roman;serif" w:hAnsi="Times New Roman;serif"/>
          <w:b w:val="false"/>
          <w:color w:val="000000"/>
          <w:sz w:val="24"/>
          <w:u w:val="single"/>
        </w:rPr>
        <w:t>GOVERNING LAW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Utah applied without regard to conflict of law principles.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8"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RESTRICTED STOCK UNIT AWARD AGREEMENT</w:t>
        <w:br/>
        <w:t>FOR COMPANY EMPLOYEES</w:t>
        <w:br/>
        <w:t>UNDER THE HEALTH CATALYST, INC.</w:t>
        <w:br/>
        <w:t>2026 EMPLOYMENT INDUCEMENT INCENTIVE PLAN</w:t>
      </w:r>
    </w:p>
    <w:tbl>
      <w:tblPr>
        <w:tblW w:w="3342" w:type="dxa"/>
        <w:jc w:val="left"/>
        <w:tblInd w:w="0" w:type="dxa"/>
        <w:tblLayout w:type="fixed"/>
        <w:tblCellMar>
          <w:top w:w="28" w:type="dxa"/>
          <w:left w:w="28" w:type="dxa"/>
          <w:bottom w:w="28" w:type="dxa"/>
          <w:right w:w="28" w:type="dxa"/>
        </w:tblCellMar>
      </w:tblPr>
      <w:tblGrid>
        <w:gridCol w:w="1074"/>
        <w:gridCol w:w="945"/>
        <w:gridCol w:w="951"/>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29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29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Health Catalyst, Inc. 2026 Employment Inducement Incentive Plan as amended through the date hereof (the “Plan”), Health Catalyst, Inc. (the “Company”) hereby grants an award of the number of Restricted Stock Units listed above (an “Award”) to the Grantee named above. Each Restricted Stock Unit shall relate to one share of Common Stock, par value $0.001 per share (the “Stock”)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Paragraph 1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1 shall lapse only with respect to the number of Restricted Stock Units specified as vested on such date.</w:t>
      </w:r>
    </w:p>
    <w:tbl>
      <w:tblPr>
        <w:tblW w:w="4349" w:type="dxa"/>
        <w:jc w:val="left"/>
        <w:tblInd w:w="0" w:type="dxa"/>
        <w:tblLayout w:type="fixed"/>
        <w:tblCellMar>
          <w:top w:w="28" w:type="dxa"/>
          <w:left w:w="28" w:type="dxa"/>
          <w:bottom w:w="28" w:type="dxa"/>
          <w:right w:w="28" w:type="dxa"/>
        </w:tblCellMar>
      </w:tblPr>
      <w:tblGrid>
        <w:gridCol w:w="1070"/>
        <w:gridCol w:w="941"/>
        <w:gridCol w:w="943"/>
        <w:gridCol w:w="408"/>
        <w:gridCol w:w="408"/>
        <w:gridCol w:w="57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Incremental Number of</w:t>
              <w:br/>
            </w:r>
            <w:r>
              <w:rPr>
                <w:rFonts w:ascii="Times New Roman;serif" w:hAnsi="Times New Roman;serif"/>
                <w:b w:val="false"/>
                <w:color w:val="000000"/>
                <w:sz w:val="24"/>
                <w:u w:val="single"/>
              </w:rPr>
              <w:t>Restricted Stock Units Vested</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9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9"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tbl>
      <w:tblPr>
        <w:tblW w:w="3254" w:type="dxa"/>
        <w:jc w:val="left"/>
        <w:tblInd w:w="0" w:type="dxa"/>
        <w:tblLayout w:type="fixed"/>
        <w:tblCellMar>
          <w:top w:w="28" w:type="dxa"/>
          <w:left w:w="28" w:type="dxa"/>
          <w:bottom w:w="28" w:type="dxa"/>
          <w:right w:w="28" w:type="dxa"/>
        </w:tblCellMar>
      </w:tblPr>
      <w:tblGrid>
        <w:gridCol w:w="691"/>
        <w:gridCol w:w="607"/>
        <w:gridCol w:w="607"/>
        <w:gridCol w:w="395"/>
        <w:gridCol w:w="395"/>
        <w:gridCol w:w="559"/>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190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190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190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__________(__%)</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Administrator may at any time accelerate the vesting schedule specified in this Paragraph 2.</w: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If the Grantee’s employment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pStyle w:val="TextBody"/>
        <w:bidi w:val="0"/>
        <w:spacing w:lineRule="auto" w:line="288" w:before="0" w:after="240"/>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Section 409A of the Code</w:t>
      </w:r>
      <w:r>
        <w:rPr>
          <w:rFonts w:ascii="Times New Roman;serif" w:hAnsi="Times New Roman;serif"/>
          <w:b w:val="false"/>
          <w:color w:val="000000"/>
          <w:sz w:val="24"/>
        </w:rPr>
        <w:t>. 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0"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No Obligation to Continue Employment</w:t>
      </w:r>
      <w:r>
        <w:rPr>
          <w:rFonts w:ascii="Times New Roman;serif" w:hAnsi="Times New Roman;serif"/>
          <w:b w:val="false"/>
          <w:color w:val="000000"/>
          <w:sz w:val="24"/>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and its Subsidiaries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1"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color w:val="000000"/>
          <w:sz w:val="24"/>
        </w:rPr>
        <w:t>Health Catalyst, Inc</w:t>
      </w:r>
      <w:r>
        <w:rPr>
          <w:rFonts w:ascii="Times New Roman;serif" w:hAnsi="Times New Roman;serif"/>
          <w:b w:val="false"/>
          <w:color w:val="000000"/>
          <w:sz w:val="24"/>
        </w:rPr>
        <w:t>.</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Title: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3915" w:type="dxa"/>
        <w:jc w:val="left"/>
        <w:tblInd w:w="0" w:type="dxa"/>
        <w:tblLayout w:type="fixed"/>
        <w:tblCellMar>
          <w:top w:w="28" w:type="dxa"/>
          <w:left w:w="28" w:type="dxa"/>
          <w:bottom w:w="28" w:type="dxa"/>
          <w:right w:w="28" w:type="dxa"/>
        </w:tblCellMar>
      </w:tblPr>
      <w:tblGrid>
        <w:gridCol w:w="380"/>
        <w:gridCol w:w="334"/>
        <w:gridCol w:w="336"/>
        <w:gridCol w:w="838"/>
        <w:gridCol w:w="838"/>
        <w:gridCol w:w="1189"/>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960"/>
              <w:jc w:val="left"/>
              <w:rPr/>
            </w:pPr>
            <w:r>
              <w:rPr>
                <w:rFonts w:ascii="Times New Roman;serif" w:hAnsi="Times New Roman;serif"/>
                <w:b w:val="false"/>
                <w:color w:val="000000"/>
                <w:sz w:val="24"/>
              </w:rPr>
              <w:t xml:space="preserve">Dated: </w:t>
            </w:r>
            <w:r>
              <w:rPr>
                <w:color w:val="000000"/>
                <w:u w:val="single"/>
              </w:rPr>
              <w:t>    </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960"/>
              <w:jc w:val="left"/>
              <w:rPr/>
            </w:pPr>
            <w:r>
              <w:rPr>
                <w:color w:val="000000"/>
                <w:u w:val="single"/>
              </w:rPr>
              <w:t>    </w:t>
            </w:r>
            <w:r>
              <w:rPr>
                <w:rFonts w:ascii="Times New Roman;serif" w:hAnsi="Times New Roman;serif"/>
                <w:b w:val="false"/>
                <w:color w:val="000000"/>
                <w:sz w:val="24"/>
              </w:rPr>
              <w:br/>
              <w:t>Grantee’s Signature</w:t>
            </w:r>
          </w:p>
        </w:tc>
      </w:tr>
      <w:tr>
        <w:trPr/>
        <w:tc>
          <w:tcPr>
            <w:tcW w:w="105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2"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36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NON-QUALIFIED STOCK OPTION AGREEMENT</w:t>
        <w:br/>
        <w:t>FOR COMPANY EMPLOYEES</w:t>
        <w:br/>
        <w:t>UNDER THE HEALTH CATALYST, INC.</w:t>
        <w:br/>
        <w:t>2026 EMPLOYMENT INDUCEMENT INCENTIVE PLAN</w:t>
      </w:r>
    </w:p>
    <w:tbl>
      <w:tblPr>
        <w:tblW w:w="5444" w:type="dxa"/>
        <w:jc w:val="left"/>
        <w:tblInd w:w="0" w:type="dxa"/>
        <w:tblLayout w:type="fixed"/>
        <w:tblCellMar>
          <w:top w:w="28" w:type="dxa"/>
          <w:left w:w="28" w:type="dxa"/>
          <w:bottom w:w="28" w:type="dxa"/>
          <w:right w:w="28" w:type="dxa"/>
        </w:tblCellMar>
      </w:tblPr>
      <w:tblGrid>
        <w:gridCol w:w="1163"/>
        <w:gridCol w:w="1020"/>
        <w:gridCol w:w="1026"/>
        <w:gridCol w:w="655"/>
        <w:gridCol w:w="655"/>
        <w:gridCol w:w="925"/>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of Optionee:</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360"/>
              <w:jc w:val="left"/>
              <w:rPr/>
            </w:pPr>
            <w:r>
              <w:rPr>
                <w:rFonts w:ascii="Times New Roman;serif" w:hAnsi="Times New Roman;serif"/>
                <w:b w:val="false"/>
                <w:color w:val="000000"/>
                <w:sz w:val="24"/>
                <w:u w:val="single"/>
              </w:rPr>
              <w:t>$    </w:t>
              <w:br/>
            </w:r>
            <w:r>
              <w:rPr>
                <w:rFonts w:ascii="Times New Roman;serif" w:hAnsi="Times New Roman;serif"/>
                <w:b w:val="false"/>
                <w:color w:val="000000"/>
                <w:sz w:val="24"/>
              </w:rPr>
              <w:t>[FMV on Grant Date]</w:t>
            </w:r>
          </w:p>
        </w:tc>
      </w:tr>
      <w:tr>
        <w:trPr/>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320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2235"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Health Catalyst, Inc. 2026 Employment Inducement Incentive Plan as amended through the date hereof (the “Plan”), Health Catalyst,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remains an employee of the Company or a Subsidiary on such dates:</w:t>
      </w:r>
    </w:p>
    <w:tbl>
      <w:tblPr>
        <w:tblW w:w="4575" w:type="dxa"/>
        <w:jc w:val="left"/>
        <w:tblInd w:w="0" w:type="dxa"/>
        <w:tblLayout w:type="fixed"/>
        <w:tblCellMar>
          <w:top w:w="28" w:type="dxa"/>
          <w:left w:w="28" w:type="dxa"/>
          <w:bottom w:w="28" w:type="dxa"/>
          <w:right w:w="28" w:type="dxa"/>
        </w:tblCellMar>
      </w:tblPr>
      <w:tblGrid>
        <w:gridCol w:w="951"/>
        <w:gridCol w:w="836"/>
        <w:gridCol w:w="838"/>
        <w:gridCol w:w="571"/>
        <w:gridCol w:w="571"/>
        <w:gridCol w:w="808"/>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 of</w:t>
              <w:br/>
            </w:r>
            <w:r>
              <w:rPr>
                <w:rFonts w:ascii="Times New Roman;serif" w:hAnsi="Times New Roman;serif"/>
                <w:b w:val="false"/>
                <w:color w:val="000000"/>
                <w:sz w:val="24"/>
                <w:u w:val="single"/>
              </w:rPr>
              <w:t>Option Shares Exercisable</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Exercisability Date</w:t>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__________</w:t>
            </w:r>
            <w:r>
              <w:rPr>
                <w:rFonts w:ascii="Times New Roman;serif" w:hAnsi="Times New Roman;serif"/>
                <w:b w:val="false"/>
                <w:color w:val="000000"/>
                <w:sz w:val="24"/>
              </w:rPr>
              <w:t>(%)</w:t>
            </w:r>
          </w:p>
        </w:tc>
        <w:tc>
          <w:tcPr>
            <w:tcW w:w="1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3"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If the Optionee’s employment with the Company or a Subsidiary (as defined in the Plan) terminates, the period within which to exercise the Stock Option may be subject to earlier termination as set forth below.</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employment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employment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employment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employment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Administrator’s determination of the reason for termination of the Optionee’s employment with the Company or a Subsidiary shall be conclusive and binding on the Optionee and his or her representatives or legatees.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No Obligation to Continue Employment</w:t>
      </w:r>
      <w:r>
        <w:rPr>
          <w:rFonts w:ascii="Times New Roman;serif" w:hAnsi="Times New Roman;serif"/>
          <w:b w:val="false"/>
          <w:color w:val="000000"/>
          <w:sz w:val="24"/>
        </w:rPr>
        <w:t>. Neither the Company nor any Subsidiary is obligated by or as a result of the Plan or this Agreement to continue the Optionee’s employment with the Company or a Subsidiary and neither the Plan nor this Agreement shall interfere in any way with the right of the Company or any Subsidiary to terminate the Optionee’s employment with the Company or a Subsidiary at any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6"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and its Subsidiaries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lineRule="auto" w:line="288" w:before="0" w:after="24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7"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720"/>
        <w:jc w:val="left"/>
        <w:rPr/>
      </w:pPr>
      <w:r>
        <w:rPr>
          <w:rFonts w:ascii="Times New Roman;serif" w:hAnsi="Times New Roman;serif"/>
          <w:b/>
          <w:color w:val="000000"/>
          <w:sz w:val="24"/>
        </w:rPr>
        <w:t>Health Catalyst, Inc</w:t>
      </w:r>
      <w:r>
        <w:rPr>
          <w:rFonts w:ascii="Times New Roman;serif" w:hAnsi="Times New Roman;serif"/>
          <w:b w:val="false"/>
          <w:color w:val="000000"/>
          <w:sz w:val="24"/>
        </w:rPr>
        <w:t>.</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Title: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tbl>
      <w:tblPr>
        <w:tblW w:w="3795" w:type="dxa"/>
        <w:jc w:val="left"/>
        <w:tblInd w:w="0" w:type="dxa"/>
        <w:tblLayout w:type="fixed"/>
        <w:tblCellMar>
          <w:top w:w="28" w:type="dxa"/>
          <w:left w:w="28" w:type="dxa"/>
          <w:bottom w:w="28" w:type="dxa"/>
          <w:right w:w="28" w:type="dxa"/>
        </w:tblCellMar>
      </w:tblPr>
      <w:tblGrid>
        <w:gridCol w:w="293"/>
        <w:gridCol w:w="258"/>
        <w:gridCol w:w="259"/>
        <w:gridCol w:w="873"/>
        <w:gridCol w:w="873"/>
        <w:gridCol w:w="123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96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tc>
        <w:tc>
          <w:tcPr>
            <w:tcW w:w="2985" w:type="dxa"/>
            <w:gridSpan w:val="3"/>
            <w:tcBorders/>
            <w:tcMar>
              <w:top w:w="0" w:type="dxa"/>
              <w:left w:w="0" w:type="dxa"/>
              <w:bottom w:w="0" w:type="dxa"/>
              <w:right w:w="0" w:type="dxa"/>
            </w:tcMar>
            <w:vAlign w:val="center"/>
          </w:tcPr>
          <w:p>
            <w:pPr>
              <w:pStyle w:val="TableContents"/>
              <w:bidi w:val="0"/>
              <w:spacing w:lineRule="auto" w:line="288" w:before="0" w:after="960"/>
              <w:jc w:val="left"/>
              <w:rPr/>
            </w:pPr>
            <w:r>
              <w:rPr>
                <w:color w:val="000000"/>
                <w:u w:val="single"/>
              </w:rPr>
              <w:t>    </w:t>
            </w:r>
            <w:r>
              <w:rPr>
                <w:rFonts w:ascii="Times New Roman;serif" w:hAnsi="Times New Roman;serif"/>
                <w:b w:val="false"/>
                <w:color w:val="000000"/>
                <w:sz w:val="24"/>
              </w:rPr>
              <w:br/>
              <w:t>Optionee’s Signature</w:t>
            </w:r>
          </w:p>
        </w:tc>
      </w:tr>
      <w:tr>
        <w:trPr/>
        <w:tc>
          <w:tcPr>
            <w:tcW w:w="81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Optionee’s name and address:</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8"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36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before="0" w:after="0"/>
        <w:ind w:left="0" w:right="0" w:firstLine="360"/>
        <w:jc w:val="left"/>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RESTRICTED STOCK AWARD AGREEMENT</w:t>
        <w:br/>
        <w:t>UNDER THE HEALTH CATALYST, INC.</w:t>
        <w:br/>
        <w:t>2026 EMPLOYMENT INDUCEMENT INCENTIVE PLAN</w:t>
      </w:r>
    </w:p>
    <w:tbl>
      <w:tblPr>
        <w:tblW w:w="2186" w:type="dxa"/>
        <w:jc w:val="left"/>
        <w:tblInd w:w="0" w:type="dxa"/>
        <w:tblLayout w:type="fixed"/>
        <w:tblCellMar>
          <w:top w:w="28" w:type="dxa"/>
          <w:left w:w="28" w:type="dxa"/>
          <w:bottom w:w="28" w:type="dxa"/>
          <w:right w:w="28" w:type="dxa"/>
        </w:tblCellMar>
      </w:tblPr>
      <w:tblGrid>
        <w:gridCol w:w="656"/>
        <w:gridCol w:w="577"/>
        <w:gridCol w:w="581"/>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No. of Shares: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36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Health Catalyst, Inc. 2026 Employment Inducement Incentive Plan (the “Plan”) as amended through the date hereof, Health Catalyst,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Award</w:t>
      </w:r>
      <w:r>
        <w:rPr>
          <w:rFonts w:ascii="Times New Roman;serif" w:hAnsi="Times New Roman;serif"/>
          <w:b w:val="false"/>
          <w:color w:val="000000"/>
          <w:sz w:val="24"/>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Restrictions and Conditions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Shares of Restricted Stock granted herein may not be sold, assigned, transferred, pledged or otherwise encumbered or disposed of by the Grantee prior to vesting.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If the Grantee’s employment with the Company or a Subsidiary voluntarily or involuntarily terminates for any reason (including death) prior to vesting of shares of Restricted Stock granted herein, all shares of Restricted Stock shall immediately and automatically be forfeited and returned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9"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Vesting of Restricted Stock</w:t>
      </w:r>
      <w:r>
        <w:rPr>
          <w:rFonts w:ascii="Times New Roman;serif" w:hAnsi="Times New Roman;serif"/>
          <w:b w:val="false"/>
          <w:color w:val="000000"/>
          <w:sz w:val="24"/>
        </w:rPr>
        <w:t>. The restrictions and conditions in Paragraph 2 of this Agreement shall lapse on the Vesting Date or Dates specified in the following schedule so long as the Grantee remains an employee of the Company or a Subsidiary on such Dates. If a series of Vesting Dates is specified, then the restrictions and conditions in Paragraph 2 shall lapse only with respect to the number of shares of Restricted Stock specified as vested on such date.</w:t>
      </w:r>
    </w:p>
    <w:tbl>
      <w:tblPr>
        <w:tblW w:w="3465" w:type="dxa"/>
        <w:jc w:val="left"/>
        <w:tblInd w:w="0" w:type="dxa"/>
        <w:tblLayout w:type="fixed"/>
        <w:tblCellMar>
          <w:top w:w="28" w:type="dxa"/>
          <w:left w:w="28" w:type="dxa"/>
          <w:bottom w:w="28" w:type="dxa"/>
          <w:right w:w="28" w:type="dxa"/>
        </w:tblCellMar>
      </w:tblPr>
      <w:tblGrid>
        <w:gridCol w:w="750"/>
        <w:gridCol w:w="659"/>
        <w:gridCol w:w="661"/>
        <w:gridCol w:w="408"/>
        <w:gridCol w:w="408"/>
        <w:gridCol w:w="57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4"/>
              </w:rPr>
              <w:t>Incremental Number</w:t>
              <w:br/>
            </w:r>
            <w:r>
              <w:rPr>
                <w:rFonts w:ascii="Times New Roman;serif" w:hAnsi="Times New Roman;serif"/>
                <w:b w:val="false"/>
                <w:color w:val="000000"/>
                <w:sz w:val="24"/>
                <w:u w:val="single"/>
              </w:rPr>
              <w:t>of Shares Vested</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Vesting Date</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__________</w:t>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Subsequent to such Vesting Date or Dates, the shares of Stock on which all restrictions and conditions have lapsed shall no longer be deemed Restricted Stock. The Administrator may at any time accelerate the vesting schedule specified in this Paragraph 3.</w:t>
      </w:r>
    </w:p>
    <w:p>
      <w:pPr>
        <w:pStyle w:val="TextBody"/>
        <w:bidi w:val="0"/>
        <w:spacing w:lineRule="auto" w:line="288" w:before="0" w:after="24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Dividends</w:t>
      </w:r>
      <w:r>
        <w:rPr>
          <w:rFonts w:ascii="Times New Roman;serif" w:hAnsi="Times New Roman;serif"/>
          <w:b w:val="false"/>
          <w:color w:val="000000"/>
          <w:sz w:val="24"/>
        </w:rPr>
        <w:t>. Dividends on shares of Restricted Stock shall be paid currently to the Grantee.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Grantee, is non-assignable and is not transferable in any manner, by operation of law or otherwise, other than by will or the laws of descent and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Election Under Section 83(b)</w:t>
      </w:r>
      <w:r>
        <w:rPr>
          <w:rFonts w:ascii="Times New Roman;serif" w:hAnsi="Times New Roman;serif"/>
          <w:b w:val="false"/>
          <w:color w:val="000000"/>
          <w:sz w:val="24"/>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No Obligation to Continue Employment</w:t>
      </w:r>
      <w:r>
        <w:rPr>
          <w:rFonts w:ascii="Times New Roman;serif" w:hAnsi="Times New Roman;serif"/>
          <w:b w:val="false"/>
          <w:color w:val="000000"/>
          <w:sz w:val="24"/>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and its Subsidiaries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lineRule="auto" w:line="288" w:before="0" w:after="24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1"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720"/>
        <w:jc w:val="left"/>
        <w:rPr/>
      </w:pPr>
      <w:r>
        <w:rPr>
          <w:rFonts w:ascii="Times New Roman;serif" w:hAnsi="Times New Roman;serif"/>
          <w:b/>
          <w:color w:val="000000"/>
          <w:sz w:val="24"/>
        </w:rPr>
        <w:t>Health Catalyst, Inc</w:t>
      </w:r>
      <w:r>
        <w:rPr>
          <w:rFonts w:ascii="Times New Roman;serif" w:hAnsi="Times New Roman;serif"/>
          <w:b w:val="false"/>
          <w:color w:val="000000"/>
          <w:sz w:val="24"/>
        </w:rPr>
        <w:t>.</w:t>
      </w:r>
    </w:p>
    <w:p>
      <w:pPr>
        <w:pStyle w:val="TextBody"/>
        <w:bidi w:val="0"/>
        <w:spacing w:before="0" w:after="240"/>
        <w:ind w:left="0" w:right="0" w:hanging="720"/>
        <w:jc w:val="left"/>
        <w:rPr/>
      </w:pPr>
      <w:r>
        <w:rPr/>
      </w:r>
    </w:p>
    <w:p>
      <w:pPr>
        <w:pStyle w:val="TextBody"/>
        <w:bidi w:val="0"/>
        <w:spacing w:lineRule="auto" w:line="288" w:before="0" w:after="240"/>
        <w:ind w:left="0" w:right="0" w:hanging="72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jc w:val="left"/>
        <w:rPr/>
      </w:pPr>
      <w:r>
        <w:rPr/>
      </w:r>
    </w:p>
    <w:p>
      <w:pPr>
        <w:pStyle w:val="TextBody"/>
        <w:bidi w:val="0"/>
        <w:spacing w:before="0" w:after="0"/>
        <w:jc w:val="left"/>
        <w:rPr/>
      </w:pPr>
      <w:r>
        <w:rPr/>
      </w:r>
    </w:p>
    <w:tbl>
      <w:tblPr>
        <w:tblW w:w="3915" w:type="dxa"/>
        <w:jc w:val="left"/>
        <w:tblInd w:w="0" w:type="dxa"/>
        <w:tblLayout w:type="fixed"/>
        <w:tblCellMar>
          <w:top w:w="28" w:type="dxa"/>
          <w:left w:w="28" w:type="dxa"/>
          <w:bottom w:w="28" w:type="dxa"/>
          <w:right w:w="28" w:type="dxa"/>
        </w:tblCellMar>
      </w:tblPr>
      <w:tblGrid>
        <w:gridCol w:w="380"/>
        <w:gridCol w:w="334"/>
        <w:gridCol w:w="336"/>
        <w:gridCol w:w="838"/>
        <w:gridCol w:w="838"/>
        <w:gridCol w:w="1189"/>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960"/>
              <w:jc w:val="left"/>
              <w:rPr/>
            </w:pPr>
            <w:r>
              <w:rPr>
                <w:rFonts w:ascii="Times New Roman;serif" w:hAnsi="Times New Roman;serif"/>
                <w:b w:val="false"/>
                <w:color w:val="000000"/>
                <w:sz w:val="24"/>
              </w:rPr>
              <w:t xml:space="preserve">Dated: </w:t>
            </w:r>
            <w:r>
              <w:rPr>
                <w:color w:val="000000"/>
                <w:u w:val="single"/>
              </w:rPr>
              <w:t>    </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960"/>
              <w:jc w:val="left"/>
              <w:rPr/>
            </w:pPr>
            <w:r>
              <w:rPr>
                <w:color w:val="000000"/>
                <w:u w:val="single"/>
              </w:rPr>
              <w:t>    </w:t>
            </w:r>
            <w:r>
              <w:rPr>
                <w:rFonts w:ascii="Times New Roman;serif" w:hAnsi="Times New Roman;serif"/>
                <w:b w:val="false"/>
                <w:color w:val="000000"/>
                <w:sz w:val="24"/>
              </w:rPr>
              <w:br/>
              <w:t>Grantee’s Signature</w:t>
            </w:r>
          </w:p>
        </w:tc>
      </w:tr>
      <w:tr>
        <w:trPr/>
        <w:tc>
          <w:tcPr>
            <w:tcW w:w="105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p>
            <w:pPr>
              <w:pStyle w:val="TableContents"/>
              <w:bidi w:val="0"/>
              <w:spacing w:lineRule="auto" w:line="288" w:before="0" w:after="240"/>
              <w:jc w:val="left"/>
              <w:rPr>
                <w:color w:val="000000"/>
                <w:u w:val="single"/>
              </w:rPr>
            </w:pPr>
            <w:r>
              <w:rPr>
                <w:color w:val="000000"/>
                <w:u w:val="single"/>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60"/>
        <w:jc w:val="left"/>
        <w:rPr/>
      </w:pPr>
      <w:r>
        <w:rPr/>
        <w:drawing>
          <wp:inline distT="0" distB="0" distL="0" distR="0">
            <wp:extent cx="2371725" cy="419100"/>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10"/>
                    <a:stretch>
                      <a:fillRect/>
                    </a:stretch>
                  </pic:blipFill>
                  <pic:spPr bwMode="auto">
                    <a:xfrm>
                      <a:off x="0" y="0"/>
                      <a:ext cx="2371725" cy="419100"/>
                    </a:xfrm>
                    <a:prstGeom prst="rect">
                      <a:avLst/>
                    </a:prstGeom>
                  </pic:spPr>
                </pic:pic>
              </a:graphicData>
            </a:graphic>
          </wp:inline>
        </w:drawing>
      </w:r>
    </w:p>
    <w:p>
      <w:pPr>
        <w:pStyle w:val="TextBody"/>
        <w:bidi w:val="0"/>
        <w:spacing w:lineRule="auto" w:line="321" w:before="0" w:after="160"/>
        <w:jc w:val="center"/>
        <w:rPr>
          <w:rFonts w:ascii="sans-serif" w:hAnsi="sans-serif"/>
          <w:b/>
          <w:color w:val="000000"/>
          <w:sz w:val="28"/>
        </w:rPr>
      </w:pPr>
      <w:r>
        <w:rPr>
          <w:rFonts w:ascii="sans-serif" w:hAnsi="sans-serif"/>
          <w:b/>
          <w:color w:val="000000"/>
          <w:sz w:val="28"/>
        </w:rPr>
        <w:t>Health Catalyst Appoints Simeon Kohl as Chief Executive Officer and President</w:t>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Kohl brings public-company leadership and a record of successful transformation; Ben Albert to continue as Chief Business Officer</w:t>
      </w:r>
    </w:p>
    <w:p>
      <w:pPr>
        <w:pStyle w:val="TextBody"/>
        <w:bidi w:val="0"/>
        <w:spacing w:before="0" w:after="0"/>
        <w:jc w:val="center"/>
        <w:rPr/>
      </w:pPr>
      <w:r>
        <w:rPr/>
      </w:r>
    </w:p>
    <w:p>
      <w:pPr>
        <w:pStyle w:val="TextBody"/>
        <w:bidi w:val="0"/>
        <w:spacing w:lineRule="auto" w:line="276" w:before="0" w:after="0"/>
        <w:jc w:val="left"/>
        <w:rPr/>
      </w:pPr>
      <w:r>
        <w:rPr>
          <w:rFonts w:ascii="sans-serif" w:hAnsi="sans-serif"/>
          <w:b/>
          <w:color w:val="000000"/>
          <w:sz w:val="24"/>
        </w:rPr>
        <w:t>SALT LAKE CITY, Utah - September 8, 2026</w:t>
      </w:r>
      <w:r>
        <w:rPr>
          <w:color w:val="000000"/>
        </w:rPr>
        <w:t xml:space="preserve"> </w:t>
      </w:r>
      <w:r>
        <w:rPr>
          <w:rFonts w:ascii="sans-serif" w:hAnsi="sans-serif"/>
          <w:b w:val="false"/>
          <w:color w:val="000000"/>
          <w:sz w:val="24"/>
        </w:rPr>
        <w:t>- Health Catalyst, Inc. (“Health Catalyst” or the "Company," Nasdaq: HCAT), a healthcare intelligence company designed to accelerate measurable improvement for health systems, today announced that Simeon Kohl has been appointed Chief Executive Officer (CEO) and President and a member of the Company’s Board of Directors, effective September 14,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Simeon Kohl most recently served as Chief Executive Officer of Performant Healthcare, a public healthcare company he led through a period of significant strategic and operational transformation, culminating in its successful sale to Machinify for approximately $670 million. He brings more than 20 years in healthcare, spanning operations, growth, and public-company leadership. The Company’s current CEO and President, Ben Albert, will become Chief Business Officer and will step down from the Board of Directors effective September 13, 2026.</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4"/>
        </w:rPr>
        <w:t>We’re pleased to welcome Simeon Kohl to Health Catalyst,” said Justin Spencer, Chairman of the Board. “Simeon is a seasoned public-company healthcare leader with a strong track record of driving operational performance and creating shareholder value. The Board knows Simeon and his record well and engaged with him extensively in consideration for this role. We believe his experience, operating discipline, and leadership approach are particularly well suited to Health Catalyst and the opportunities ahead. We’re also deeply grateful to Ben for the important work he has led and are pleased that he will continue as a key member of the leadership team.”</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Following the progress made under his leadership, Ben Albert concluded that this was the right time to transition the CEO role as Health Catalyst moves into its next phase. He will continue playing an important role in the Company’s future as Chief Business Officer, working closely with Kohl and the leadership team to advance Health Catalyst’s strategic priorities.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During his tenure, Ben Albert led the Company’s strategic priorities and operating initiatives and aligned the leadership team now running the business. He sharpened the Company’s focus on its highest-conviction technologies, positioning Health Catalyst as an AI-forward healthcare intelligence company built to solve some of healthcare’s hardest problems. To support that focus, he led the divestiture of Vitalware, which enabled the Company to retire its approximately $160 million credit facility and strengthen its balance sheet.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4"/>
        </w:rPr>
        <w:t>I care deeply about Health Catalyst and this team, and I’m proud of what we have accomplished together,” said Ben Albert. “This was a thoughtful decision about what is best for the Company and me. I have confidence in Simeon and believe he is the right leader for what comes next.”</w:t>
      </w:r>
    </w:p>
    <w:p>
      <w:pPr>
        <w:pStyle w:val="TextBody"/>
        <w:bidi w:val="0"/>
        <w:spacing w:before="0" w:after="0"/>
        <w:jc w:val="left"/>
        <w:rPr/>
      </w:pPr>
      <w:r>
        <w:rPr/>
      </w:r>
    </w:p>
    <w:p>
      <w:pPr>
        <w:pStyle w:val="TextBody"/>
        <w:bidi w:val="0"/>
        <w:spacing w:lineRule="auto" w:line="276"/>
        <w:jc w:val="left"/>
        <w:rPr/>
      </w:pPr>
      <w:r>
        <w:rPr>
          <w:rFonts w:ascii="sans-serif" w:hAnsi="sans-serif"/>
          <w:b w:val="false"/>
          <w:color w:val="000000"/>
          <w:sz w:val="24"/>
        </w:rPr>
        <w:t>Simeon Kohl said, “</w:t>
      </w:r>
      <w:r>
        <w:rPr>
          <w:rFonts w:ascii="sans-serif" w:hAnsi="sans-serif"/>
          <w:b w:val="false"/>
          <w:color w:val="212121"/>
          <w:sz w:val="24"/>
        </w:rPr>
        <w:t>I was drawn to Health Catalyst because it brings together two things I care deeply about: improving healthcare and building high-performing organizations. The company has an important mission, exceptionally talented people, and nearly two decades of proprietary data behind $2.8 billion in documented outcomes. The opportunity to build on those strengths to drive stronger growth and operating performance is what made this role so compelling to me.”</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About Health Catalyst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Health Catalyst, Inc. (Nasdaq: HCAT) is a healthcare intelligence company designed to accelerate measurable improvement for health systems across cost, clinical, and consumer performance. Backed by deep domain expertise, proprietary AI-driven technology, and $2.8 billion in documented outcomes, Health Catalyst helps health systems move from data to confident, measurable action.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4"/>
        </w:rPr>
      </w:pPr>
      <w:r>
        <w:rPr>
          <w:rFonts w:ascii="sans-serif" w:hAnsi="sans-serif"/>
          <w:b w:val="false"/>
          <w:i/>
          <w:color w:val="000000"/>
          <w:sz w:val="24"/>
        </w:rPr>
        <w:t>This release contains forward-looking statements within the meaning of Section 27A of the Securities Act of 1933, as amended, and Section 21E of the Securities Exchange Act of 1934, as amended, and the Private Securities Litigation Reform Act of 1995, as amended, including statements regarding the impact of Kohl’s appointment to President, CEO and a member of the Board, Albert’s transition to Chief Business Officer, and future performance and opportunities of Health Catalyst.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4"/>
        </w:rPr>
      </w:pPr>
      <w:r>
        <w:rPr>
          <w:rFonts w:ascii="sans-serif" w:hAnsi="sans-serif"/>
          <w:b w:val="false"/>
          <w:i/>
          <w:color w:val="000000"/>
          <w:sz w:val="24"/>
        </w:rPr>
        <w:t xml:space="preserve">Important risks and uncertainties that could cause our actual results and financial condition to differ materially from those indicated in the forward-looking statements include, among others, the following: (i) changes in laws and regulations applicable to our business model; (ii) changes in market or industry conditions, regulatory environment, and receptivity to our technology and services; (iii) results of litigation or a security incident; (iv) the loss of one or more key clients or partners, clients reducing or eliminating their spend with us, client churn or down-selling in connection with the migration to Ignite or otherwise; (v) fluctuations in our project-based, non-recurring revenue, (vi) macroeconomic challenges (including high inflationary and/or high interest rate environments, tariffs, or market volatility and measures taken in response thereto), natural disasters or any new public health crises, and regional or global conflicts (including in the Middle East); (vii) the divestiture of Vitalware may not achieve some or all of the expected benefits and may adversely affect our business; and (viii) changes to our abilities to recruit and retain qualified team members. For a detailed discussion of the risk factors that could affect our actual results, please refer to the risk factors identified in our reports filed with the Securities Exchange Commission (SEC), including, but not limited to the Quarterly Report on Form 10-Q for the fiscal quarter ended June 30, 2026, filed with the SEC on August 6, 2026, and the Annual Report on Form 10-K for the year ended December 31, 2025, filed with the SEC on March 12, 2026. All information provided in this release and in the attachments is as of the date hereof, and we undertake no duty to update or revise this information unless required by law.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Health Catalyst Investor Relations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Stephanie St. Clair</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Finance and Investor Relations, SVP</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+1 (855)-309-6800</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ir@healthcatalyst.com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Health Catalyst Media Contact</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Kay Blazar</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VP, PR</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SVM PR &amp; Marketing</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Healthcatalyst@SVMPR.com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2828019008426/exhibit1018s-1.htm" TargetMode="External"/><Relationship Id="rId3" Type="http://schemas.openxmlformats.org/officeDocument/2006/relationships/hyperlink" Target="https://www.sec.gov/Archives/edgar/data/1636422/000162828019008426/exhibit1018s-1.htm" TargetMode="External"/><Relationship Id="rId4" Type="http://schemas.openxmlformats.org/officeDocument/2006/relationships/hyperlink" Target="https://www.sec.gov/Archives/edgar/data/1636422/000162828019008426/exhibit1018s-1.htm" TargetMode="External"/><Relationship Id="rId5" Type="http://schemas.openxmlformats.org/officeDocument/2006/relationships/hyperlink" Target="https://www.sec.gov/Archives/edgar/data/1636422/000162828019008426/exhibit1018s-1.htm" TargetMode="External"/><Relationship Id="rId6" Type="http://schemas.openxmlformats.org/officeDocument/2006/relationships/hyperlink" Target="https://www.sec.gov/Archives/edgar/data/1636422/000162828019008720/exhibit1016s-1a1.htm" TargetMode="External"/><Relationship Id="rId7" Type="http://schemas.openxmlformats.org/officeDocument/2006/relationships/hyperlink" Target="https://www.sec.gov/Archives/edgar/data/1636422/000162828019008720/exhibit1016s-1a1.htm" TargetMode="External"/><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18852</Words>
  <Characters>99305</Characters>
  <CharactersWithSpaces>117961</CharactersWithSpaces>
  <Paragraphs>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