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Reller Tami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10897 S. RIVER FRONT PARKWAY, #300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Health Catalyst,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HCAT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Landry,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reller_final.txt"/>
      <w:bookmarkStart w:id="3" w:name="kspoareller_final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Health Catalyst, Inc. (the "Company"),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the individuals named on Schedule A attached hereto and as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amended from time to time, or any of them signing singly,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resubstitution, to act as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attorney-in-fact-to: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Schedules 13D and 13G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accordance with Section 13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amended (the "Exchange Act"), and the rules thereunder, and Forms 3,4,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and 5 in accordance with Section 16 of the Exchange Act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thereunder, and Notices of Proposed Sale of Securities Pursuant to Rule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144 ("Form 144"), in accordance with the requirements of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Securities Exchange Act of 1933, as amended (the "Securities Act");and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may be necessary or desirable to complete and execute any such Schedule 13D,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Schedule 13G, Form 3, Form 4, Form 5, and Form 144,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any amendment or amendments thereto, and to timely file such Schedule 13D,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Schedule 13G, Form 3, Form 4, Form 5, and Form 144, as applicable,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any amendment thereto,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Commission and any stock exchange or 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resubstitution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13 and Section 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Schedule 13D, Schedule 13G,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4, Form 5, and Form 144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transactions in securities issued by the Company,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14th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/s/Tamra Reller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Tamra L. Reller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INDIVDUALS APPOINTED AS ATTORNEY-IN-FACT,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Benjamin Landry, General Counsel of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Jason Alger, Chief Financial Officer of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2737" TargetMode="External"/><Relationship Id="rId3" Type="http://schemas.openxmlformats.org/officeDocument/2006/relationships/hyperlink" Target="http://www.sec.gov/cgi-bin/browse-edgar?action=getcompany&amp;CIK=000163642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901</Words>
  <Characters>4816</Characters>
  <CharactersWithSpaces>5754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